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p>
      <w:pPr>
        <w:pStyle w:val="TextBody"/>
        <w:bidi w:val="0"/>
        <w:spacing w:lineRule="auto" w:line="288" w:before="0" w:after="60"/>
        <w:ind w:left="0" w:right="0" w:hanging="720"/>
        <w:jc w:val="left"/>
        <w:rPr/>
      </w:pPr>
      <w:r>
        <w:rPr>
          <w:color w:val="000000"/>
        </w:rPr>
        <w:t>☑    </w:t>
      </w:r>
      <w:r>
        <w:rPr>
          <w:rFonts w:ascii="Times New Roman;serif" w:hAnsi="Times New Roman;serif"/>
          <w:b/>
          <w:color w:val="000000"/>
          <w:sz w:val="22"/>
        </w:rPr>
        <w:t xml:space="preserve">QUARTERLY REPORT 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31, 2025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0" w:after="60"/>
        <w:ind w:left="0" w:right="0" w:hanging="720"/>
        <w:jc w:val="left"/>
        <w:rPr/>
      </w:pPr>
      <w:r>
        <w:rPr>
          <w:color w:val="000000"/>
        </w:rPr>
        <w:t>☐    </w:t>
      </w:r>
      <w:r>
        <w:rPr>
          <w:rFonts w:ascii="Times New Roman;serif" w:hAnsi="Times New Roman;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001-38240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tbl>
      <w:tblPr>
        <w:tblW w:w="4735" w:type="dxa"/>
        <w:jc w:val="center"/>
        <w:tblInd w:w="0" w:type="dxa"/>
        <w:tblLayout w:type="fixed"/>
        <w:tblCellMar>
          <w:top w:w="28" w:type="dxa"/>
          <w:left w:w="28" w:type="dxa"/>
          <w:bottom w:w="28" w:type="dxa"/>
          <w:right w:w="28" w:type="dxa"/>
        </w:tblCellMar>
      </w:tblPr>
      <w:tblGrid>
        <w:gridCol w:w="600"/>
        <w:gridCol w:w="526"/>
        <w:gridCol w:w="526"/>
        <w:gridCol w:w="418"/>
        <w:gridCol w:w="418"/>
        <w:gridCol w:w="436"/>
        <w:gridCol w:w="109"/>
        <w:gridCol w:w="109"/>
        <w:gridCol w:w="109"/>
        <w:gridCol w:w="433"/>
        <w:gridCol w:w="433"/>
        <w:gridCol w:w="618"/>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1633 Broadway,</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pPr>
      <w:r>
        <w:rPr>
          <w:rFonts w:ascii="Times New Roman;serif" w:hAnsi="Times New Roman;serif"/>
          <w:b/>
          <w:color w:val="000000"/>
          <w:sz w:val="20"/>
        </w:rPr>
        <w:t>Registrant’s telephone number, including area code: 646</w:t>
      </w:r>
      <w:r>
        <w:rPr>
          <w:rFonts w:ascii="Times New Roman;serif" w:hAnsi="Times New Roman;serif"/>
          <w:b/>
          <w:color w:val="000000"/>
          <w:sz w:val="20"/>
          <w:shd w:fill="FFFFFF" w:val="clear"/>
        </w:rPr>
        <w:t xml:space="preserve">-727-4092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0" w:after="60"/>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ind w:left="0" w:right="0" w:firstLine="495"/>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495"/>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 xml:space="preserve">No </w:t>
      </w:r>
      <w:r>
        <w:rPr>
          <w:color w:val="000000"/>
        </w:rPr>
        <w:t>☑</w:t>
      </w:r>
    </w:p>
    <w:p>
      <w:pPr>
        <w:pStyle w:val="TextBody"/>
        <w:bidi w:val="0"/>
        <w:spacing w:lineRule="auto" w:line="288" w:before="0" w:after="60"/>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As of August 25, 2025, there were 81,356,893 shares of the registrant’s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18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06"/>
        <w:gridCol w:w="267"/>
        <w:gridCol w:w="267"/>
        <w:gridCol w:w="2752"/>
        <w:gridCol w:w="2663"/>
        <w:gridCol w:w="2672"/>
        <w:gridCol w:w="366"/>
        <w:gridCol w:w="366"/>
        <w:gridCol w:w="546"/>
      </w:tblGrid>
      <w:tr>
        <w:trPr/>
        <w:tc>
          <w:tcPr>
            <w:tcW w:w="30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e72af723bc04450a906d6fdebb22890_10">
              <w:r>
                <w:rPr>
                  <w:rStyle w:val="InternetLink"/>
                  <w:rFonts w:ascii="Times New Roman;serif" w:hAnsi="Times New Roman;serif"/>
                  <w:b/>
                  <w:color w:val="0000FF"/>
                  <w:sz w:val="20"/>
                  <w:u w:val="single"/>
                </w:rPr>
                <w:t>PART I. FINANCIAL INFORMATION</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3">
              <w:r>
                <w:rPr>
                  <w:rStyle w:val="InternetLink"/>
                  <w:rFonts w:ascii="Times New Roman;serif" w:hAnsi="Times New Roman;serif"/>
                  <w:b w:val="false"/>
                  <w:color w:val="0000FF"/>
                  <w:sz w:val="20"/>
                  <w:u w:val="single"/>
                </w:rPr>
                <w:t>Item 1.</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3">
              <w:r>
                <w:rPr>
                  <w:rStyle w:val="InternetLink"/>
                  <w:rFonts w:ascii="Times New Roman;serif" w:hAnsi="Times New Roman;serif"/>
                  <w:b w:val="false"/>
                  <w:color w:val="0000FF"/>
                  <w:sz w:val="20"/>
                  <w:u w:val="single"/>
                </w:rPr>
                <w:t>Financial Statements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3">
              <w:r>
                <w:rPr>
                  <w:rStyle w:val="InternetLink"/>
                  <w:rFonts w:ascii="Times New Roman;serif" w:hAnsi="Times New Roman;serif"/>
                  <w:b w:val="false"/>
                  <w:color w:val="0000FF"/>
                  <w:sz w:val="20"/>
                  <w:u w:val="single"/>
                </w:rPr>
                <w:t>1</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ee72af723bc04450a906d6fdebb22890_16">
              <w:r>
                <w:rPr>
                  <w:rStyle w:val="InternetLink"/>
                  <w:rFonts w:ascii="Times New Roman;serif" w:hAnsi="Times New Roman;serif"/>
                  <w:b w:val="false"/>
                  <w:color w:val="000080"/>
                  <w:sz w:val="20"/>
                  <w:u w:val="single"/>
                </w:rPr>
                <w:t>Unaudited Condensed Consolidated Balance Sheets as of</w:t>
              </w:r>
            </w:hyperlink>
            <w:hyperlink w:anchor="iee72af723bc04450a906d6fdebb22890_16">
              <w:r>
                <w:rPr>
                  <w:rStyle w:val="InternetLink"/>
                  <w:rFonts w:ascii="Times New Roman;serif" w:hAnsi="Times New Roman;serif"/>
                  <w:b w:val="false"/>
                  <w:color w:val="000080"/>
                  <w:sz w:val="20"/>
                  <w:u w:val="single"/>
                </w:rPr>
                <w:t xml:space="preserve"> </w:t>
              </w:r>
            </w:hyperlink>
            <w:hyperlink w:anchor="iee72af723bc04450a906d6fdebb22890_16">
              <w:r>
                <w:rPr>
                  <w:rStyle w:val="InternetLink"/>
                  <w:rFonts w:ascii="Times New Roman;serif" w:hAnsi="Times New Roman;serif"/>
                  <w:b w:val="false"/>
                  <w:color w:val="000080"/>
                  <w:sz w:val="20"/>
                  <w:u w:val="single"/>
                </w:rPr>
                <w:t>J</w:t>
              </w:r>
            </w:hyperlink>
            <w:hyperlink w:anchor="iee72af723bc04450a906d6fdebb22890_16">
              <w:r>
                <w:rPr>
                  <w:rStyle w:val="InternetLink"/>
                  <w:rFonts w:ascii="Times New Roman;serif" w:hAnsi="Times New Roman;serif"/>
                  <w:b w:val="false"/>
                  <w:color w:val="000080"/>
                  <w:sz w:val="20"/>
                  <w:u w:val="single"/>
                </w:rPr>
                <w:t>uly 31</w:t>
              </w:r>
            </w:hyperlink>
            <w:hyperlink w:anchor="iee72af723bc04450a906d6fdebb22890_16">
              <w:r>
                <w:rPr>
                  <w:rStyle w:val="InternetLink"/>
                  <w:rFonts w:ascii="Times New Roman;serif" w:hAnsi="Times New Roman;serif"/>
                  <w:b w:val="false"/>
                  <w:color w:val="000080"/>
                  <w:sz w:val="20"/>
                  <w:u w:val="single"/>
                </w:rPr>
                <w:t>, 2025 and January 31, 2025</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6">
              <w:r>
                <w:rPr>
                  <w:rStyle w:val="InternetLink"/>
                  <w:rFonts w:ascii="Times New Roman;serif" w:hAnsi="Times New Roman;serif"/>
                  <w:b w:val="false"/>
                  <w:color w:val="0000FF"/>
                  <w:sz w:val="20"/>
                  <w:u w:val="single"/>
                </w:rPr>
                <w:t>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72af723bc04450a906d6fdebb22890_19">
              <w:r>
                <w:rPr>
                  <w:rStyle w:val="InternetLink"/>
                  <w:rFonts w:ascii="Times New Roman;serif" w:hAnsi="Times New Roman;serif"/>
                  <w:b w:val="false"/>
                  <w:color w:val="000080"/>
                  <w:sz w:val="20"/>
                  <w:u w:val="single"/>
                </w:rPr>
                <w:t>Unaudited Condensed Consolidated Statements of Operations for the three</w:t>
              </w:r>
            </w:hyperlink>
            <w:hyperlink w:anchor="iee72af723bc04450a906d6fdebb22890_19">
              <w:r>
                <w:rPr>
                  <w:rStyle w:val="InternetLink"/>
                  <w:rFonts w:ascii="Times New Roman;serif" w:hAnsi="Times New Roman;serif"/>
                  <w:b w:val="false"/>
                  <w:color w:val="000080"/>
                  <w:sz w:val="20"/>
                  <w:u w:val="single"/>
                </w:rPr>
                <w:t xml:space="preserve"> and six</w:t>
              </w:r>
            </w:hyperlink>
            <w:hyperlink w:anchor="iee72af723bc04450a906d6fdebb22890_19">
              <w:r>
                <w:rPr>
                  <w:rStyle w:val="InternetLink"/>
                  <w:rFonts w:ascii="Times New Roman;serif" w:hAnsi="Times New Roman;serif"/>
                  <w:b w:val="false"/>
                  <w:color w:val="000080"/>
                  <w:sz w:val="20"/>
                  <w:u w:val="single"/>
                </w:rPr>
                <w:t xml:space="preserve"> months ended </w:t>
              </w:r>
            </w:hyperlink>
            <w:hyperlink w:anchor="iee72af723bc04450a906d6fdebb22890_19">
              <w:r>
                <w:rPr>
                  <w:rStyle w:val="InternetLink"/>
                  <w:rFonts w:ascii="Times New Roman;serif" w:hAnsi="Times New Roman;serif"/>
                  <w:b w:val="false"/>
                  <w:color w:val="000080"/>
                  <w:sz w:val="20"/>
                  <w:u w:val="single"/>
                </w:rPr>
                <w:t>July</w:t>
              </w:r>
            </w:hyperlink>
            <w:hyperlink w:anchor="iee72af723bc04450a906d6fdebb22890_19">
              <w:r>
                <w:rPr>
                  <w:rStyle w:val="InternetLink"/>
                  <w:rFonts w:ascii="Times New Roman;serif" w:hAnsi="Times New Roman;serif"/>
                  <w:b w:val="false"/>
                  <w:color w:val="000080"/>
                  <w:sz w:val="20"/>
                  <w:u w:val="single"/>
                </w:rPr>
                <w:t xml:space="preserve"> 3</w:t>
              </w:r>
            </w:hyperlink>
            <w:hyperlink w:anchor="iee72af723bc04450a906d6fdebb22890_19">
              <w:r>
                <w:rPr>
                  <w:rStyle w:val="InternetLink"/>
                  <w:rFonts w:ascii="Times New Roman;serif" w:hAnsi="Times New Roman;serif"/>
                  <w:b w:val="false"/>
                  <w:color w:val="000080"/>
                  <w:sz w:val="20"/>
                  <w:u w:val="single"/>
                </w:rPr>
                <w:t>1</w:t>
              </w:r>
            </w:hyperlink>
            <w:hyperlink w:anchor="iee72af723bc04450a906d6fdebb22890_19">
              <w:r>
                <w:rPr>
                  <w:rStyle w:val="InternetLink"/>
                  <w:rFonts w:ascii="Times New Roman;serif" w:hAnsi="Times New Roman;serif"/>
                  <w:b w:val="false"/>
                  <w:color w:val="000080"/>
                  <w:sz w:val="20"/>
                  <w:u w:val="single"/>
                </w:rPr>
                <w:t>, 2025 and 2024</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9">
              <w:r>
                <w:rPr>
                  <w:rStyle w:val="InternetLink"/>
                  <w:rFonts w:ascii="Times New Roman;serif" w:hAnsi="Times New Roman;serif"/>
                  <w:b w:val="false"/>
                  <w:color w:val="0000FF"/>
                  <w:sz w:val="20"/>
                  <w:u w:val="single"/>
                </w:rPr>
                <w:t>2</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72af723bc04450a906d6fdebb22890_22">
              <w:r>
                <w:rPr>
                  <w:rStyle w:val="InternetLink"/>
                  <w:rFonts w:ascii="Times New Roman;serif" w:hAnsi="Times New Roman;serif"/>
                  <w:b w:val="false"/>
                  <w:color w:val="000080"/>
                  <w:sz w:val="20"/>
                  <w:u w:val="single"/>
                </w:rPr>
                <w:t>Unaudited Condensed Consolidated Statements of Comprehensive Loss for the three</w:t>
              </w:r>
            </w:hyperlink>
            <w:hyperlink w:anchor="iee72af723bc04450a906d6fdebb22890_22">
              <w:r>
                <w:rPr>
                  <w:rStyle w:val="InternetLink"/>
                  <w:rFonts w:ascii="Times New Roman;serif" w:hAnsi="Times New Roman;serif"/>
                  <w:b w:val="false"/>
                  <w:color w:val="000080"/>
                  <w:sz w:val="20"/>
                  <w:u w:val="single"/>
                </w:rPr>
                <w:t xml:space="preserve"> and six</w:t>
              </w:r>
            </w:hyperlink>
            <w:hyperlink w:anchor="iee72af723bc04450a906d6fdebb22890_22">
              <w:r>
                <w:rPr>
                  <w:rStyle w:val="InternetLink"/>
                  <w:rFonts w:ascii="Times New Roman;serif" w:hAnsi="Times New Roman;serif"/>
                  <w:b w:val="false"/>
                  <w:color w:val="000080"/>
                  <w:sz w:val="20"/>
                  <w:u w:val="single"/>
                </w:rPr>
                <w:t xml:space="preserve"> months ended </w:t>
              </w:r>
            </w:hyperlink>
            <w:hyperlink w:anchor="iee72af723bc04450a906d6fdebb22890_22">
              <w:r>
                <w:rPr>
                  <w:rStyle w:val="InternetLink"/>
                  <w:rFonts w:ascii="Times New Roman;serif" w:hAnsi="Times New Roman;serif"/>
                  <w:b w:val="false"/>
                  <w:color w:val="000080"/>
                  <w:sz w:val="20"/>
                  <w:u w:val="single"/>
                </w:rPr>
                <w:t>July 31</w:t>
              </w:r>
            </w:hyperlink>
            <w:hyperlink w:anchor="iee72af723bc04450a906d6fdebb22890_22">
              <w:r>
                <w:rPr>
                  <w:rStyle w:val="InternetLink"/>
                  <w:rFonts w:ascii="Times New Roman;serif" w:hAnsi="Times New Roman;serif"/>
                  <w:b w:val="false"/>
                  <w:color w:val="000080"/>
                  <w:sz w:val="20"/>
                  <w:u w:val="single"/>
                </w:rPr>
                <w:t>, 2025 and 2024</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22">
              <w:r>
                <w:rPr>
                  <w:rStyle w:val="InternetLink"/>
                  <w:rFonts w:ascii="Times New Roman;serif" w:hAnsi="Times New Roman;serif"/>
                  <w:b w:val="false"/>
                  <w:color w:val="0000FF"/>
                  <w:sz w:val="20"/>
                  <w:u w:val="single"/>
                </w:rPr>
                <w:t>3</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72af723bc04450a906d6fdebb22890_25">
              <w:r>
                <w:rPr>
                  <w:rStyle w:val="InternetLink"/>
                  <w:rFonts w:ascii="Times New Roman;serif" w:hAnsi="Times New Roman;serif"/>
                  <w:b w:val="false"/>
                  <w:color w:val="000080"/>
                  <w:sz w:val="20"/>
                  <w:u w:val="single"/>
                </w:rPr>
                <w:t xml:space="preserve">Unaudited Condensed Consolidated Statements of Stockholders’ Equity for the three </w:t>
              </w:r>
            </w:hyperlink>
            <w:hyperlink w:anchor="iee72af723bc04450a906d6fdebb22890_25">
              <w:r>
                <w:rPr>
                  <w:rStyle w:val="InternetLink"/>
                  <w:rFonts w:ascii="Times New Roman;serif" w:hAnsi="Times New Roman;serif"/>
                  <w:b w:val="false"/>
                  <w:color w:val="000080"/>
                  <w:sz w:val="20"/>
                  <w:u w:val="single"/>
                </w:rPr>
                <w:t xml:space="preserve">and six </w:t>
              </w:r>
            </w:hyperlink>
            <w:hyperlink w:anchor="iee72af723bc04450a906d6fdebb22890_25">
              <w:r>
                <w:rPr>
                  <w:rStyle w:val="InternetLink"/>
                  <w:rFonts w:ascii="Times New Roman;serif" w:hAnsi="Times New Roman;serif"/>
                  <w:b w:val="false"/>
                  <w:color w:val="000080"/>
                  <w:sz w:val="20"/>
                  <w:u w:val="single"/>
                </w:rPr>
                <w:t xml:space="preserve">months ended </w:t>
              </w:r>
            </w:hyperlink>
            <w:hyperlink w:anchor="iee72af723bc04450a906d6fdebb22890_25">
              <w:r>
                <w:rPr>
                  <w:rStyle w:val="InternetLink"/>
                  <w:rFonts w:ascii="Times New Roman;serif" w:hAnsi="Times New Roman;serif"/>
                  <w:b w:val="false"/>
                  <w:color w:val="000080"/>
                  <w:sz w:val="20"/>
                  <w:u w:val="single"/>
                </w:rPr>
                <w:t>July 31</w:t>
              </w:r>
            </w:hyperlink>
            <w:hyperlink w:anchor="iee72af723bc04450a906d6fdebb22890_25">
              <w:r>
                <w:rPr>
                  <w:rStyle w:val="InternetLink"/>
                  <w:rFonts w:ascii="Times New Roman;serif" w:hAnsi="Times New Roman;serif"/>
                  <w:b w:val="false"/>
                  <w:color w:val="000080"/>
                  <w:sz w:val="20"/>
                  <w:u w:val="single"/>
                </w:rPr>
                <w:t>, 2025 and 2024</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25">
              <w:r>
                <w:rPr>
                  <w:rStyle w:val="InternetLink"/>
                  <w:rFonts w:ascii="Times New Roman;serif" w:hAnsi="Times New Roman;serif"/>
                  <w:b w:val="false"/>
                  <w:color w:val="0000FF"/>
                  <w:sz w:val="20"/>
                  <w:u w:val="single"/>
                </w:rPr>
                <w:t>4</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72af723bc04450a906d6fdebb22890_28">
              <w:r>
                <w:rPr>
                  <w:rStyle w:val="InternetLink"/>
                  <w:rFonts w:ascii="Times New Roman;serif" w:hAnsi="Times New Roman;serif"/>
                  <w:b w:val="false"/>
                  <w:color w:val="000080"/>
                  <w:sz w:val="20"/>
                  <w:u w:val="single"/>
                </w:rPr>
                <w:t xml:space="preserve">Unaudited Condensed Consolidated Statements of Cash Flows for the </w:t>
              </w:r>
            </w:hyperlink>
            <w:hyperlink w:anchor="iee72af723bc04450a906d6fdebb22890_28">
              <w:r>
                <w:rPr>
                  <w:rStyle w:val="InternetLink"/>
                  <w:rFonts w:ascii="Times New Roman;serif" w:hAnsi="Times New Roman;serif"/>
                  <w:b w:val="false"/>
                  <w:color w:val="000080"/>
                  <w:sz w:val="20"/>
                  <w:u w:val="single"/>
                </w:rPr>
                <w:t>six</w:t>
              </w:r>
            </w:hyperlink>
            <w:hyperlink w:anchor="iee72af723bc04450a906d6fdebb22890_28">
              <w:r>
                <w:rPr>
                  <w:rStyle w:val="InternetLink"/>
                  <w:rFonts w:ascii="Times New Roman;serif" w:hAnsi="Times New Roman;serif"/>
                  <w:b w:val="false"/>
                  <w:color w:val="000080"/>
                  <w:sz w:val="20"/>
                  <w:u w:val="single"/>
                </w:rPr>
                <w:t xml:space="preserve"> months ended </w:t>
              </w:r>
            </w:hyperlink>
            <w:hyperlink w:anchor="iee72af723bc04450a906d6fdebb22890_28">
              <w:r>
                <w:rPr>
                  <w:rStyle w:val="InternetLink"/>
                  <w:rFonts w:ascii="Times New Roman;serif" w:hAnsi="Times New Roman;serif"/>
                  <w:b w:val="false"/>
                  <w:color w:val="000080"/>
                  <w:sz w:val="20"/>
                  <w:u w:val="single"/>
                </w:rPr>
                <w:t>Ju</w:t>
              </w:r>
            </w:hyperlink>
            <w:hyperlink w:anchor="iee72af723bc04450a906d6fdebb22890_28">
              <w:r>
                <w:rPr>
                  <w:rStyle w:val="InternetLink"/>
                  <w:rFonts w:ascii="Times New Roman;serif" w:hAnsi="Times New Roman;serif"/>
                  <w:b w:val="false"/>
                  <w:color w:val="000080"/>
                  <w:sz w:val="20"/>
                  <w:u w:val="single"/>
                </w:rPr>
                <w:t>ly</w:t>
              </w:r>
            </w:hyperlink>
            <w:hyperlink w:anchor="iee72af723bc04450a906d6fdebb22890_28">
              <w:r>
                <w:rPr>
                  <w:rStyle w:val="InternetLink"/>
                  <w:rFonts w:ascii="Times New Roman;serif" w:hAnsi="Times New Roman;serif"/>
                  <w:b w:val="false"/>
                  <w:color w:val="000080"/>
                  <w:sz w:val="20"/>
                  <w:u w:val="single"/>
                </w:rPr>
                <w:t xml:space="preserve"> 3</w:t>
              </w:r>
            </w:hyperlink>
            <w:hyperlink w:anchor="iee72af723bc04450a906d6fdebb22890_28">
              <w:r>
                <w:rPr>
                  <w:rStyle w:val="InternetLink"/>
                  <w:rFonts w:ascii="Times New Roman;serif" w:hAnsi="Times New Roman;serif"/>
                  <w:b w:val="false"/>
                  <w:color w:val="000080"/>
                  <w:sz w:val="20"/>
                  <w:u w:val="single"/>
                </w:rPr>
                <w:t>1</w:t>
              </w:r>
            </w:hyperlink>
            <w:hyperlink w:anchor="iee72af723bc04450a906d6fdebb22890_28">
              <w:r>
                <w:rPr>
                  <w:rStyle w:val="InternetLink"/>
                  <w:rFonts w:ascii="Times New Roman;serif" w:hAnsi="Times New Roman;serif"/>
                  <w:b w:val="false"/>
                  <w:color w:val="000080"/>
                  <w:sz w:val="20"/>
                  <w:u w:val="single"/>
                </w:rPr>
                <w:t>, 2025 and 2024</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28">
              <w:r>
                <w:rPr>
                  <w:rStyle w:val="InternetLink"/>
                  <w:rFonts w:ascii="Times New Roman;serif" w:hAnsi="Times New Roman;serif"/>
                  <w:b w:val="false"/>
                  <w:color w:val="0000FF"/>
                  <w:sz w:val="20"/>
                  <w:u w:val="single"/>
                </w:rPr>
                <w:t>5</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ee72af723bc04450a906d6fdebb22890_31">
              <w:r>
                <w:rPr>
                  <w:rStyle w:val="InternetLink"/>
                  <w:rFonts w:ascii="Times New Roman;serif" w:hAnsi="Times New Roman;serif"/>
                  <w:b w:val="false"/>
                  <w:color w:val="0000FF"/>
                  <w:sz w:val="20"/>
                  <w:u w:val="single"/>
                </w:rPr>
                <w:t>Notes to Condensed Consolidated Financial Statements (unaudited)</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31">
              <w:r>
                <w:rPr>
                  <w:rStyle w:val="InternetLink"/>
                  <w:rFonts w:ascii="Times New Roman;serif" w:hAnsi="Times New Roman;serif"/>
                  <w:b w:val="false"/>
                  <w:color w:val="0000FF"/>
                  <w:sz w:val="20"/>
                  <w:u w:val="single"/>
                </w:rPr>
                <w:t>6</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82">
              <w:r>
                <w:rPr>
                  <w:rStyle w:val="InternetLink"/>
                  <w:rFonts w:ascii="Times New Roman;serif" w:hAnsi="Times New Roman;serif"/>
                  <w:b w:val="false"/>
                  <w:color w:val="0000FF"/>
                  <w:sz w:val="20"/>
                  <w:u w:val="single"/>
                </w:rPr>
                <w:t>Item 2.</w:t>
              </w:r>
            </w:hyperlink>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82">
              <w:r>
                <w:rPr>
                  <w:rStyle w:val="InternetLink"/>
                  <w:rFonts w:ascii="Times New Roman;serif" w:hAnsi="Times New Roman;serif"/>
                  <w:b w:val="false"/>
                  <w:color w:val="0000FF"/>
                  <w:sz w:val="20"/>
                  <w:u w:val="single"/>
                </w:rPr>
                <w:t>20</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18">
              <w:r>
                <w:rPr>
                  <w:rStyle w:val="InternetLink"/>
                  <w:rFonts w:ascii="Times New Roman;serif" w:hAnsi="Times New Roman;serif"/>
                  <w:b w:val="false"/>
                  <w:color w:val="0000FF"/>
                  <w:sz w:val="20"/>
                  <w:u w:val="single"/>
                </w:rPr>
                <w:t>Item 3.</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18">
              <w:r>
                <w:rPr>
                  <w:rStyle w:val="InternetLink"/>
                  <w:rFonts w:ascii="Times New Roman;serif" w:hAnsi="Times New Roman;serif"/>
                  <w:b w:val="false"/>
                  <w:color w:val="0000FF"/>
                  <w:sz w:val="20"/>
                  <w:u w:val="single"/>
                </w:rPr>
                <w:t>Quantitative and Qualitative Disclosures About Market Risk</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18">
              <w:r>
                <w:rPr>
                  <w:rStyle w:val="InternetLink"/>
                  <w:rFonts w:ascii="Times New Roman;serif" w:hAnsi="Times New Roman;serif"/>
                  <w:b w:val="false"/>
                  <w:color w:val="0000FF"/>
                  <w:sz w:val="20"/>
                  <w:u w:val="single"/>
                </w:rPr>
                <w:t>33</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21">
              <w:r>
                <w:rPr>
                  <w:rStyle w:val="InternetLink"/>
                  <w:rFonts w:ascii="Times New Roman;serif" w:hAnsi="Times New Roman;serif"/>
                  <w:b w:val="false"/>
                  <w:color w:val="0000FF"/>
                  <w:sz w:val="20"/>
                  <w:u w:val="single"/>
                </w:rPr>
                <w:t>Item 4.</w:t>
              </w:r>
            </w:hyperlink>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21">
              <w:r>
                <w:rPr>
                  <w:rStyle w:val="InternetLink"/>
                  <w:rFonts w:ascii="Times New Roman;serif" w:hAnsi="Times New Roman;serif"/>
                  <w:b w:val="false"/>
                  <w:color w:val="0000FF"/>
                  <w:sz w:val="20"/>
                  <w:u w:val="single"/>
                </w:rPr>
                <w:t>Controls and Procedures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21">
              <w:r>
                <w:rPr>
                  <w:rStyle w:val="InternetLink"/>
                  <w:rFonts w:ascii="Times New Roman;serif" w:hAnsi="Times New Roman;serif"/>
                  <w:b w:val="false"/>
                  <w:color w:val="0000FF"/>
                  <w:sz w:val="20"/>
                  <w:u w:val="single"/>
                </w:rPr>
                <w:t>34</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e72af723bc04450a906d6fdebb22890_124">
              <w:r>
                <w:rPr>
                  <w:rStyle w:val="InternetLink"/>
                  <w:rFonts w:ascii="Times New Roman;serif" w:hAnsi="Times New Roman;serif"/>
                  <w:b/>
                  <w:color w:val="0000FF"/>
                  <w:sz w:val="20"/>
                  <w:u w:val="single"/>
                </w:rPr>
                <w:t>PART II. OTHER INFORMATION</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27">
              <w:r>
                <w:rPr>
                  <w:rStyle w:val="InternetLink"/>
                  <w:rFonts w:ascii="Times New Roman;serif" w:hAnsi="Times New Roman;serif"/>
                  <w:b w:val="false"/>
                  <w:color w:val="0000FF"/>
                  <w:sz w:val="20"/>
                  <w:u w:val="single"/>
                </w:rPr>
                <w:t>Item 1.</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27">
              <w:r>
                <w:rPr>
                  <w:rStyle w:val="InternetLink"/>
                  <w:rFonts w:ascii="Times New Roman;serif" w:hAnsi="Times New Roman;serif"/>
                  <w:b w:val="false"/>
                  <w:color w:val="0000FF"/>
                  <w:sz w:val="20"/>
                  <w:u w:val="single"/>
                </w:rPr>
                <w:t>Legal Proceedings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27">
              <w:r>
                <w:rPr>
                  <w:rStyle w:val="InternetLink"/>
                  <w:rFonts w:ascii="Times New Roman;serif" w:hAnsi="Times New Roman;serif"/>
                  <w:b w:val="false"/>
                  <w:color w:val="0000FF"/>
                  <w:sz w:val="20"/>
                  <w:u w:val="single"/>
                </w:rPr>
                <w:t>35</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30">
              <w:r>
                <w:rPr>
                  <w:rStyle w:val="InternetLink"/>
                  <w:rFonts w:ascii="Times New Roman;serif" w:hAnsi="Times New Roman;serif"/>
                  <w:b w:val="false"/>
                  <w:color w:val="0000FF"/>
                  <w:sz w:val="20"/>
                  <w:u w:val="single"/>
                </w:rPr>
                <w:t>Item 1A.</w:t>
              </w:r>
            </w:hyperlink>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30">
              <w:r>
                <w:rPr>
                  <w:rStyle w:val="InternetLink"/>
                  <w:rFonts w:ascii="Times New Roman;serif" w:hAnsi="Times New Roman;serif"/>
                  <w:b w:val="false"/>
                  <w:color w:val="0000FF"/>
                  <w:sz w:val="20"/>
                  <w:u w:val="single"/>
                </w:rPr>
                <w:t>Risk Factors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30">
              <w:r>
                <w:rPr>
                  <w:rStyle w:val="InternetLink"/>
                  <w:rFonts w:ascii="Times New Roman;serif" w:hAnsi="Times New Roman;serif"/>
                  <w:b w:val="false"/>
                  <w:color w:val="0000FF"/>
                  <w:sz w:val="20"/>
                  <w:u w:val="single"/>
                </w:rPr>
                <w:t>35</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33">
              <w:r>
                <w:rPr>
                  <w:rStyle w:val="InternetLink"/>
                  <w:rFonts w:ascii="Times New Roman;serif" w:hAnsi="Times New Roman;serif"/>
                  <w:b w:val="false"/>
                  <w:color w:val="0000FF"/>
                  <w:sz w:val="20"/>
                  <w:u w:val="single"/>
                </w:rPr>
                <w:t>Item 2.</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33">
              <w:r>
                <w:rPr>
                  <w:rStyle w:val="InternetLink"/>
                  <w:rFonts w:ascii="Times New Roman;serif" w:hAnsi="Times New Roman;serif"/>
                  <w:b w:val="false"/>
                  <w:color w:val="0000FF"/>
                  <w:sz w:val="20"/>
                  <w:u w:val="single"/>
                </w:rPr>
                <w:t>Unregistered Sales of Equity Securities and Use of Proceeds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33">
              <w:r>
                <w:rPr>
                  <w:rStyle w:val="InternetLink"/>
                  <w:rFonts w:ascii="Times New Roman;serif" w:hAnsi="Times New Roman;serif"/>
                  <w:b w:val="false"/>
                  <w:color w:val="0000FF"/>
                  <w:sz w:val="20"/>
                  <w:u w:val="single"/>
                </w:rPr>
                <w:t>70</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36">
              <w:r>
                <w:rPr>
                  <w:rStyle w:val="InternetLink"/>
                  <w:rFonts w:ascii="Times New Roman;serif" w:hAnsi="Times New Roman;serif"/>
                  <w:b w:val="false"/>
                  <w:color w:val="0000FF"/>
                  <w:sz w:val="20"/>
                  <w:u w:val="single"/>
                </w:rPr>
                <w:t>Item 3.</w:t>
              </w:r>
            </w:hyperlink>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36">
              <w:r>
                <w:rPr>
                  <w:rStyle w:val="InternetLink"/>
                  <w:rFonts w:ascii="Times New Roman;serif" w:hAnsi="Times New Roman;serif"/>
                  <w:b w:val="false"/>
                  <w:color w:val="0000FF"/>
                  <w:sz w:val="20"/>
                  <w:u w:val="single"/>
                </w:rPr>
                <w:t>Defaults Upon Senior Securities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36">
              <w:r>
                <w:rPr>
                  <w:rStyle w:val="InternetLink"/>
                  <w:rFonts w:ascii="Times New Roman;serif" w:hAnsi="Times New Roman;serif"/>
                  <w:b w:val="false"/>
                  <w:color w:val="0000FF"/>
                  <w:sz w:val="20"/>
                  <w:u w:val="single"/>
                </w:rPr>
                <w:t>71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39">
              <w:r>
                <w:rPr>
                  <w:rStyle w:val="InternetLink"/>
                  <w:rFonts w:ascii="Times New Roman;serif" w:hAnsi="Times New Roman;serif"/>
                  <w:b w:val="false"/>
                  <w:color w:val="0000FF"/>
                  <w:sz w:val="20"/>
                  <w:u w:val="single"/>
                </w:rPr>
                <w:t>Item 4.</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39">
              <w:r>
                <w:rPr>
                  <w:rStyle w:val="InternetLink"/>
                  <w:rFonts w:ascii="Times New Roman;serif" w:hAnsi="Times New Roman;serif"/>
                  <w:b w:val="false"/>
                  <w:color w:val="0000FF"/>
                  <w:sz w:val="20"/>
                  <w:u w:val="single"/>
                </w:rPr>
                <w:t>Mine Safety Disclosures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39">
              <w:r>
                <w:rPr>
                  <w:rStyle w:val="InternetLink"/>
                  <w:rFonts w:ascii="Times New Roman;serif" w:hAnsi="Times New Roman;serif"/>
                  <w:b w:val="false"/>
                  <w:color w:val="0000FF"/>
                  <w:sz w:val="20"/>
                  <w:u w:val="single"/>
                </w:rPr>
                <w:t>71</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42">
              <w:r>
                <w:rPr>
                  <w:rStyle w:val="InternetLink"/>
                  <w:rFonts w:ascii="Times New Roman;serif" w:hAnsi="Times New Roman;serif"/>
                  <w:b w:val="false"/>
                  <w:color w:val="0000FF"/>
                  <w:sz w:val="20"/>
                  <w:u w:val="single"/>
                </w:rPr>
                <w:t>Item 5.</w:t>
              </w:r>
            </w:hyperlink>
          </w:p>
        </w:tc>
        <w:tc>
          <w:tcPr>
            <w:tcW w:w="8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42">
              <w:r>
                <w:rPr>
                  <w:rStyle w:val="InternetLink"/>
                  <w:rFonts w:ascii="Times New Roman;serif" w:hAnsi="Times New Roman;serif"/>
                  <w:b w:val="false"/>
                  <w:color w:val="0000FF"/>
                  <w:sz w:val="20"/>
                  <w:u w:val="single"/>
                </w:rPr>
                <w:t>Other Information</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42">
              <w:r>
                <w:rPr>
                  <w:rStyle w:val="InternetLink"/>
                  <w:rFonts w:ascii="Times New Roman;serif" w:hAnsi="Times New Roman;serif"/>
                  <w:b w:val="false"/>
                  <w:color w:val="0000FF"/>
                  <w:sz w:val="20"/>
                  <w:u w:val="single"/>
                </w:rPr>
                <w:t>71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ee72af723bc04450a906d6fdebb22890_148">
              <w:r>
                <w:rPr>
                  <w:rStyle w:val="InternetLink"/>
                  <w:rFonts w:ascii="Times New Roman;serif" w:hAnsi="Times New Roman;serif"/>
                  <w:b w:val="false"/>
                  <w:color w:val="0000FF"/>
                  <w:sz w:val="20"/>
                  <w:u w:val="single"/>
                </w:rPr>
                <w:t>Item 6.</w:t>
              </w:r>
            </w:hyperlink>
          </w:p>
        </w:tc>
        <w:tc>
          <w:tcPr>
            <w:tcW w:w="8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48">
              <w:r>
                <w:rPr>
                  <w:rStyle w:val="InternetLink"/>
                  <w:rFonts w:ascii="Times New Roman;serif" w:hAnsi="Times New Roman;serif"/>
                  <w:b w:val="false"/>
                  <w:color w:val="0000FF"/>
                  <w:sz w:val="20"/>
                  <w:u w:val="single"/>
                </w:rPr>
                <w:t>Exhibits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48">
              <w:r>
                <w:rPr>
                  <w:rStyle w:val="InternetLink"/>
                  <w:rFonts w:ascii="Times New Roman;serif" w:hAnsi="Times New Roman;serif"/>
                  <w:b w:val="false"/>
                  <w:color w:val="0000FF"/>
                  <w:sz w:val="20"/>
                  <w:u w:val="single"/>
                </w:rPr>
                <w:t>73</w:t>
              </w:r>
            </w:hyperlink>
          </w:p>
        </w:tc>
      </w:tr>
      <w:tr>
        <w:trPr/>
        <w:tc>
          <w:tcPr>
            <w:tcW w:w="892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e72af723bc04450a906d6fdebb22890_151">
              <w:r>
                <w:rPr>
                  <w:rStyle w:val="InternetLink"/>
                  <w:rFonts w:ascii="Times New Roman;serif" w:hAnsi="Times New Roman;serif"/>
                  <w:b w:val="false"/>
                  <w:color w:val="0000FF"/>
                  <w:sz w:val="20"/>
                  <w:u w:val="single"/>
                </w:rPr>
                <w:t>Signatures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e72af723bc04450a906d6fdebb22890_151">
              <w:r>
                <w:rPr>
                  <w:rStyle w:val="InternetLink"/>
                  <w:rFonts w:ascii="Times New Roman;serif" w:hAnsi="Times New Roman;serif"/>
                  <w:b w:val="false"/>
                  <w:color w:val="0000FF"/>
                  <w:sz w:val="20"/>
                  <w:u w:val="single"/>
                </w:rPr>
                <w:t>74</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540"/>
        <w:jc w:val="center"/>
        <w:rPr>
          <w:rFonts w:ascii="Times New Roman;serif" w:hAnsi="Times New Roman;serif"/>
          <w:b/>
          <w:color w:val="000000"/>
          <w:sz w:val="24"/>
        </w:rPr>
      </w:pPr>
      <w:r>
        <w:rPr>
          <w:rFonts w:ascii="Times New Roman;serif" w:hAnsi="Times New Roman;serif"/>
          <w:b/>
          <w:color w:val="000000"/>
          <w:sz w:val="2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945"/>
        <w:jc w:val="left"/>
        <w:rPr>
          <w:rFonts w:ascii="Times New Roman;serif" w:hAnsi="Times New Roman;serif"/>
          <w:b/>
          <w:color w:val="000000"/>
          <w:sz w:val="24"/>
        </w:rPr>
      </w:pPr>
      <w:r>
        <w:rPr>
          <w:rFonts w:ascii="Times New Roman;serif" w:hAnsi="Times New Roman;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299"/>
        <w:gridCol w:w="2269"/>
        <w:gridCol w:w="196"/>
        <w:gridCol w:w="871"/>
        <w:gridCol w:w="109"/>
        <w:gridCol w:w="109"/>
        <w:gridCol w:w="109"/>
        <w:gridCol w:w="109"/>
        <w:gridCol w:w="207"/>
        <w:gridCol w:w="922"/>
        <w:gridCol w:w="165"/>
      </w:tblGrid>
      <w:tr>
        <w:trPr/>
        <w:tc>
          <w:tcPr>
            <w:tcW w:w="2840"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1,846,444 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net of allowance for doubtful accounts of $11,151 and $8,888 as of July 31, 2025 and January 31, 2025, respectively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commissions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current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2,923,522 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Goodwill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3,430,293 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compensation and benefits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Deferred revenue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561,987 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648,069 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Common stock, par value of $0.001 per share; 1,000,000,000 shares authorized as of July 31, 2025 and January 31, 2025; 82,575,113 shares issued and 81,546,068 shares outstanding as of July 31, 2025; 80,558,847 shares issued and 80,467,811 shares outstanding as of January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Additional paid-in capital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4,625,093 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Treasury stock, 1,029,045 shares (repurchased at an average of $195.66 per share) as of July 31, 2025 and 99,371 shares (repurchased at an average of $13.27 per share) as of January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(1,840,704)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2,782,224 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3,430,293 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except share and per share data)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2"/>
        <w:gridCol w:w="1306"/>
        <w:gridCol w:w="1316"/>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887"/>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income taxes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73,543,427 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73,269,824 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of U.S. dollars)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1"/>
        <w:gridCol w:w="1468"/>
        <w:gridCol w:w="1475"/>
        <w:gridCol w:w="211"/>
        <w:gridCol w:w="794"/>
        <w:gridCol w:w="109"/>
        <w:gridCol w:w="109"/>
        <w:gridCol w:w="109"/>
        <w:gridCol w:w="109"/>
        <w:gridCol w:w="211"/>
        <w:gridCol w:w="794"/>
        <w:gridCol w:w="109"/>
        <w:gridCol w:w="109"/>
        <w:gridCol w:w="109"/>
        <w:gridCol w:w="109"/>
        <w:gridCol w:w="211"/>
        <w:gridCol w:w="794"/>
        <w:gridCol w:w="109"/>
        <w:gridCol w:w="109"/>
        <w:gridCol w:w="109"/>
        <w:gridCol w:w="109"/>
        <w:gridCol w:w="211"/>
        <w:gridCol w:w="899"/>
        <w:gridCol w:w="158"/>
      </w:tblGrid>
      <w:tr>
        <w:trPr/>
        <w:tc>
          <w:tcPr>
            <w:tcW w:w="167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income (loss) on available-for-sale securities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data)</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716"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32"/>
        <w:gridCol w:w="659"/>
        <w:gridCol w:w="130"/>
        <w:gridCol w:w="109"/>
        <w:gridCol w:w="109"/>
        <w:gridCol w:w="109"/>
        <w:gridCol w:w="196"/>
        <w:gridCol w:w="886"/>
        <w:gridCol w:w="109"/>
        <w:gridCol w:w="109"/>
        <w:gridCol w:w="109"/>
        <w:gridCol w:w="109"/>
        <w:gridCol w:w="196"/>
        <w:gridCol w:w="87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80,467,811 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 subject to future vesting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April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81,715,778 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168,293 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(929,674)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July 31, 2025</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81,546,068 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5,064,031 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(1,925,378)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2,942,974 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1408"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571"/>
        <w:gridCol w:w="109"/>
        <w:gridCol w:w="109"/>
        <w:gridCol w:w="109"/>
        <w:gridCol w:w="109"/>
        <w:gridCol w:w="228"/>
        <w:gridCol w:w="665"/>
        <w:gridCol w:w="128"/>
        <w:gridCol w:w="109"/>
        <w:gridCol w:w="109"/>
        <w:gridCol w:w="109"/>
        <w:gridCol w:w="196"/>
        <w:gridCol w:w="886"/>
        <w:gridCol w:w="109"/>
        <w:gridCol w:w="109"/>
        <w:gridCol w:w="109"/>
        <w:gridCol w:w="109"/>
        <w:gridCol w:w="196"/>
        <w:gridCol w:w="871"/>
        <w:gridCol w:w="109"/>
        <w:gridCol w:w="109"/>
        <w:gridCol w:w="109"/>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January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72,741,321 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derivative related to the Capped Call associated with the 2024 Notes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April 30,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73,350,595 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41,954 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as of July 31, 2024</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73,863,712 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3,210,146 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(1,846,754)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1,363,047 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6"/>
        <w:gridCol w:w="2365"/>
        <w:gridCol w:w="2374"/>
        <w:gridCol w:w="196"/>
        <w:gridCol w:w="736"/>
        <w:gridCol w:w="109"/>
        <w:gridCol w:w="109"/>
        <w:gridCol w:w="109"/>
        <w:gridCol w:w="109"/>
        <w:gridCol w:w="196"/>
        <w:gridCol w:w="871"/>
        <w:gridCol w:w="155"/>
      </w:tblGrid>
      <w:tr>
        <w:trPr/>
        <w:tc>
          <w:tcPr>
            <w:tcW w:w="2876"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(135,122)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and accretion of discount on short-term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loss (gain) on financial instruments,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current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commissions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Accrued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operating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combination,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maturities of marketable 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Purchases of marketable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(185,633)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investing activities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242,277 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Proceeds from settlement of capped calls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170,589 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under the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Principal payments of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(used in) financing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cash equivalents and restricted cash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in cash, cash equivalents and restricted cash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Cash, cash equivalents and restricted cash, beginning of period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Cash, cash equivalents and restricted cash,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 business combination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within the condensed consolidated balance sheets, end of period, to the amounts shown in the statements of cash flows above: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1,292,480 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Organization and Description of Business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Summary of Significant Accounting Policies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Basis of Presentation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for the fair statement of the Company’s financial position, results of operations and cash flows for the periods presented. All intercompany transactions and accounts have been eliminated. The results of operations for the interim periods should not be considered indicative of results for the full year or for any other future year or interim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2025 (the “2025 Form 10-K”).</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Use of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Significant Accounting Policies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exception of the policies discussed below, there have been no other changes to the Company’s significant accounting policies as described in the Company’s 2025 Form 10-K.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Treasury stock is accounted for using the cost method and recorded as a reduction to stockholders’ equity on the condensed consolidated balance sheets. Incremental direct costs to purchase treasury stock are included in the cost of the shares acquired.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xml:space="preserve">. In December 2023, the FASB issued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(Topic 740): Improvements to Income 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may be applied on a retrospective or prospective basis, with early adoption permitted. The Company is currently evaluating the impact of ASU 2023-09 on its consolidated financial statements.</w:t>
      </w:r>
    </w:p>
    <w:p>
      <w:pPr>
        <w:pStyle w:val="TextBody"/>
        <w:bidi w:val="0"/>
        <w:spacing w:lineRule="auto" w:line="288" w:before="0" w:after="0"/>
        <w:ind w:left="0" w:right="0" w:firstLine="540"/>
        <w:jc w:val="left"/>
        <w:rPr/>
      </w:pPr>
      <w:r>
        <w:rPr>
          <w:rFonts w:ascii="Times New Roman;serif" w:hAnsi="Times New Roman;serif"/>
          <w:b w:val="false"/>
          <w:i/>
          <w:color w:val="000000"/>
          <w:sz w:val="20"/>
        </w:rPr>
        <w:t>Disaggregation—Income Statement Expenses</w:t>
      </w:r>
      <w:r>
        <w:rPr>
          <w:rFonts w:ascii="Times New Roman;serif" w:hAnsi="Times New Roman;serif"/>
          <w:b w:val="false"/>
          <w:color w:val="000000"/>
          <w:sz w:val="20"/>
        </w:rPr>
        <w:t>. In November 2024, the FASB issued ASU 2024-03,</w:t>
      </w:r>
      <w:r>
        <w:rPr>
          <w:color w:val="000000"/>
        </w:rPr>
        <w:t xml:space="preserve">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(Subtopic 220-40): Disaggregation of Income Statement Expenses, which requires disclosures about specific types of expenses included in the expense captions presented on the 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Fair Value Measurements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that have been measured at fair value on a recurring basis as of July 31, 2025 and January 31, 2025 and indicate the fair value hierarchy of the valuation inputs utilized to determine such fair value (in thousands):</w:t>
      </w:r>
    </w:p>
    <w:tbl>
      <w:tblPr>
        <w:tblW w:w="8084" w:type="dxa"/>
        <w:jc w:val="left"/>
        <w:tblInd w:w="0" w:type="dxa"/>
        <w:tblLayout w:type="fixed"/>
        <w:tblCellMar>
          <w:top w:w="28" w:type="dxa"/>
          <w:left w:w="28" w:type="dxa"/>
          <w:bottom w:w="28" w:type="dxa"/>
          <w:right w:w="28" w:type="dxa"/>
        </w:tblCellMar>
      </w:tblPr>
      <w:tblGrid>
        <w:gridCol w:w="1090"/>
        <w:gridCol w:w="958"/>
        <w:gridCol w:w="966"/>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 as of July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1,848,083 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8085" w:type="dxa"/>
        <w:jc w:val="left"/>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Fair Value Measurement as of January 31,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utilized the market approach and Level 1 valuation inputs to value its money market mutual funds and U.S. government treasury securities because published net asset values were readily available.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the Company’s short-term investments by remaining contractual maturity as of July 31, 2025 and January 31, 2025 (in thousands):</w:t>
      </w:r>
    </w:p>
    <w:tbl>
      <w:tblPr>
        <w:tblW w:w="10205" w:type="dxa"/>
        <w:jc w:val="left"/>
        <w:tblInd w:w="0" w:type="dxa"/>
        <w:tblLayout w:type="fixed"/>
        <w:tblCellMar>
          <w:top w:w="28" w:type="dxa"/>
          <w:left w:w="28" w:type="dxa"/>
          <w:bottom w:w="28" w:type="dxa"/>
          <w:right w:w="28" w:type="dxa"/>
        </w:tblCellMar>
      </w:tblPr>
      <w:tblGrid>
        <w:gridCol w:w="715"/>
        <w:gridCol w:w="254"/>
        <w:gridCol w:w="257"/>
        <w:gridCol w:w="211"/>
        <w:gridCol w:w="976"/>
        <w:gridCol w:w="109"/>
        <w:gridCol w:w="109"/>
        <w:gridCol w:w="109"/>
        <w:gridCol w:w="109"/>
        <w:gridCol w:w="237"/>
        <w:gridCol w:w="694"/>
        <w:gridCol w:w="124"/>
        <w:gridCol w:w="109"/>
        <w:gridCol w:w="109"/>
        <w:gridCol w:w="109"/>
        <w:gridCol w:w="211"/>
        <w:gridCol w:w="976"/>
        <w:gridCol w:w="109"/>
        <w:gridCol w:w="109"/>
        <w:gridCol w:w="109"/>
        <w:gridCol w:w="109"/>
        <w:gridCol w:w="211"/>
        <w:gridCol w:w="976"/>
        <w:gridCol w:w="109"/>
        <w:gridCol w:w="109"/>
        <w:gridCol w:w="109"/>
        <w:gridCol w:w="109"/>
        <w:gridCol w:w="237"/>
        <w:gridCol w:w="694"/>
        <w:gridCol w:w="124"/>
        <w:gridCol w:w="109"/>
        <w:gridCol w:w="109"/>
        <w:gridCol w:w="109"/>
        <w:gridCol w:w="211"/>
        <w:gridCol w:w="976"/>
        <w:gridCol w:w="159"/>
      </w:tblGrid>
      <w:tr>
        <w:trPr/>
        <w:tc>
          <w:tcPr>
            <w:tcW w:w="7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Unrealized </w:t>
              <w:br/>
              <w:t>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1,846,444 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2025 and January 31, 2025, net unrealized gains on the Company’s U.S. government treasury securities were approximately $2.5 million and $1.5 million, respectively. These net unrealized gains were caused by fluctuations in interest rates, which results in changes to the market value of these securities. Since the fluctuation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July 31, 2025. Gross realized gains and losses were not material for each of the three and six months ended July 31, 2025 and 2024. There were no material short-term investments in a continuous loss position for greater than twelve months.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Non-marketable Securities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2025 and January 31, 2025, the total amount of non-marketable equity securities included in other assets on the Company’s condensed consolidated balance sheets were $32.2 million and $24.2 million, respectively. The Company invested an additional $8.5 million and $5.5 million of its cash in non-marketable equity securities during the six months ended July 31, 2025 and 2024, respectively. The Company recognized no net unrealized losses on certain of these non-marketable securities during the three months ended July 31, 2025. The Company recognized an immaterial net unrealized loss on certain of these non-marketable securities during the six months ended July 31, 2025 and both the three and six months ended July 31, 2024.</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Business Combinations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 xml:space="preserve">Voyage AI Innovations, Inc.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17, 2025 (the “Acquisition Date”), the Company acquired all outstanding shares of Voyage AI Innovations, Inc. (“Voyage AI”), an AI-powered software company that specializes in embedding and reranking models. The Company acquired Voyage AI for its developed technology and talent.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a business acquisition under the acquisition method of accounting.</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acquisition date fair value of the purchase consideration was $160.9 million, which comprised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3836" w:type="dxa"/>
        <w:jc w:val="left"/>
        <w:tblInd w:w="0" w:type="dxa"/>
        <w:tblLayout w:type="fixed"/>
        <w:tblCellMar>
          <w:top w:w="28" w:type="dxa"/>
          <w:left w:w="28" w:type="dxa"/>
          <w:bottom w:w="28" w:type="dxa"/>
          <w:right w:w="28" w:type="dxa"/>
        </w:tblCellMar>
      </w:tblPr>
      <w:tblGrid>
        <w:gridCol w:w="557"/>
        <w:gridCol w:w="489"/>
        <w:gridCol w:w="498"/>
        <w:gridCol w:w="109"/>
        <w:gridCol w:w="109"/>
        <w:gridCol w:w="109"/>
        <w:gridCol w:w="348"/>
        <w:gridCol w:w="1363"/>
        <w:gridCol w:w="254"/>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w:t>
            </w:r>
            <w:r>
              <w:rPr>
                <w:rFonts w:ascii="Times New Roman;serif" w:hAnsi="Times New Roman;serif"/>
                <w:b w:val="false"/>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Approximately 484,169 shares of the Company’s common stock were included in the purchase consideration and the fair values of these shares were determined based on the opening market price of $292.05 per share on February 18, 2025. Because the acquisition closed on a market holiday, the Company elected to use the opening market price on the first trading day subsequent to the acquisition date.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this business combination, the Company also issued to certain of Voyage AI’s employees a total of 213,023 shares of restricted stock awards and 35,152 shares of restricted stock units in exchange for a portion of their Voyage AI stock. These shares are subject to vesting agreements contingent upon each of these employees’ continued employment with the Company or its affiliates, pursuant to which the shares will vest over the weighted-average requisite service period of 2.7 years. The $62.2 million fair value of these restricted stock awards and $10.3 million fair value of these restricted stock units are accounted for as post-combination stock-based compensation expense over the weighted-average requisite service period.</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purchase consideration to assets acquired and liabilities assumed based on their respective estimated fair values as of the date of acquisition:</w:t>
      </w:r>
    </w:p>
    <w:tbl>
      <w:tblPr>
        <w:tblW w:w="8031" w:type="dxa"/>
        <w:jc w:val="left"/>
        <w:tblInd w:w="0" w:type="dxa"/>
        <w:tblLayout w:type="fixed"/>
        <w:tblCellMar>
          <w:top w:w="28" w:type="dxa"/>
          <w:left w:w="28" w:type="dxa"/>
          <w:bottom w:w="28" w:type="dxa"/>
          <w:right w:w="28" w:type="dxa"/>
        </w:tblCellMar>
      </w:tblPr>
      <w:tblGrid>
        <w:gridCol w:w="1249"/>
        <w:gridCol w:w="1097"/>
        <w:gridCol w:w="1103"/>
        <w:gridCol w:w="109"/>
        <w:gridCol w:w="109"/>
        <w:gridCol w:w="109"/>
        <w:gridCol w:w="353"/>
        <w:gridCol w:w="1384"/>
        <w:gridCol w:w="182"/>
        <w:gridCol w:w="109"/>
        <w:gridCol w:w="109"/>
        <w:gridCol w:w="109"/>
        <w:gridCol w:w="587"/>
        <w:gridCol w:w="587"/>
        <w:gridCol w:w="83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Useful Life </w:t>
              <w:br/>
              <w:t>(in years)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intangible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tax liabilities,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Deferred tax liabilities, net primarily relate to the intangible asset acquired and the amount presented is net of deferred tax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developed technology was estimated using the reproduction cost method (Level 3), which utilized assumptions for the cost to replace, such as the workforce, timing and resources required, as well as a theoretical profit margin and opportunity cost. The Company determined the economic useful life to be two years based on the expected time period that the asset would contribute to the Company’s future cash flows without significant upgrades. The values assigned to the assets acquired and liabilities assumed are based on preliminary estimates of fair value available as of the date of this Quarterly Report on Form 10-Q. The Company continues to collect information with regards to the estimates and assumptions, including identification of potential liabilities, contingencies, and the allocation of the purchase price. Adjustments to the fair value of the net assets acquired, liabilities assumed and goodwill will be recorded within the measurement period, if necessary.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related to the acquisition, which represents the difference between the purchase price and fair values of identifiable net assets, is not tax deductible for U.S. income tax purposes. The Company believes the goodwill balance associated with this business combination is attributable to the assembled workforce as well as synergies expected from expanded market opportunities when integrating the acquired developed technology with the Company’s offerings.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incurred acquisition-related costs for the Voyage AI acquisition of $1.5 million during the six months ended July 31, 2025. These acquisition-related costs were included in general and administrative expenses in the Company’s interim condensed consolidated statements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acquisition through July 31, 2025, revenue attributable to Voyage AI, included in the Company’s interim condensed consolidated statements of operations for the three and six months ended July 31, 2025, was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 xml:space="preserve">Grainite, Inc.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consolidated financial statements for the year ended January 31, 2024.</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Goodwill and Intangible Assets,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during the periods presented (in thousands):</w:t>
      </w:r>
    </w:p>
    <w:tbl>
      <w:tblPr>
        <w:tblW w:w="7412" w:type="dxa"/>
        <w:jc w:val="left"/>
        <w:tblInd w:w="0" w:type="dxa"/>
        <w:tblLayout w:type="fixed"/>
        <w:tblCellMar>
          <w:top w:w="28" w:type="dxa"/>
          <w:left w:w="28" w:type="dxa"/>
          <w:bottom w:w="28" w:type="dxa"/>
          <w:right w:w="28" w:type="dxa"/>
        </w:tblCellMar>
      </w:tblPr>
      <w:tblGrid>
        <w:gridCol w:w="1618"/>
        <w:gridCol w:w="1423"/>
        <w:gridCol w:w="1429"/>
        <w:gridCol w:w="211"/>
        <w:gridCol w:w="826"/>
        <w:gridCol w:w="109"/>
        <w:gridCol w:w="109"/>
        <w:gridCol w:w="109"/>
        <w:gridCol w:w="109"/>
        <w:gridCol w:w="285"/>
        <w:gridCol w:w="976"/>
        <w:gridCol w:w="208"/>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business combinations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the Company’s intangible assets are as follows (in thousands):</w:t>
      </w:r>
    </w:p>
    <w:tbl>
      <w:tblPr>
        <w:tblW w:w="7936" w:type="dxa"/>
        <w:jc w:val="left"/>
        <w:tblInd w:w="0" w:type="dxa"/>
        <w:tblLayout w:type="fixed"/>
        <w:tblCellMar>
          <w:top w:w="28" w:type="dxa"/>
          <w:left w:w="28" w:type="dxa"/>
          <w:bottom w:w="28" w:type="dxa"/>
          <w:right w:w="28" w:type="dxa"/>
        </w:tblCellMar>
      </w:tblPr>
      <w:tblGrid>
        <w:gridCol w:w="723"/>
        <w:gridCol w:w="634"/>
        <w:gridCol w:w="638"/>
        <w:gridCol w:w="315"/>
        <w:gridCol w:w="1233"/>
        <w:gridCol w:w="162"/>
        <w:gridCol w:w="109"/>
        <w:gridCol w:w="109"/>
        <w:gridCol w:w="109"/>
        <w:gridCol w:w="391"/>
        <w:gridCol w:w="1477"/>
        <w:gridCol w:w="202"/>
        <w:gridCol w:w="109"/>
        <w:gridCol w:w="109"/>
        <w:gridCol w:w="109"/>
        <w:gridCol w:w="252"/>
        <w:gridCol w:w="862"/>
        <w:gridCol w:w="130"/>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(62,732)</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936" w:type="dxa"/>
        <w:jc w:val="left"/>
        <w:tblInd w:w="0" w:type="dxa"/>
        <w:tblLayout w:type="fixed"/>
        <w:tblCellMar>
          <w:top w:w="28" w:type="dxa"/>
          <w:left w:w="28" w:type="dxa"/>
          <w:bottom w:w="28" w:type="dxa"/>
          <w:right w:w="28" w:type="dxa"/>
        </w:tblCellMar>
      </w:tblPr>
      <w:tblGrid>
        <w:gridCol w:w="723"/>
        <w:gridCol w:w="634"/>
        <w:gridCol w:w="638"/>
        <w:gridCol w:w="346"/>
        <w:gridCol w:w="1185"/>
        <w:gridCol w:w="179"/>
        <w:gridCol w:w="109"/>
        <w:gridCol w:w="109"/>
        <w:gridCol w:w="109"/>
        <w:gridCol w:w="391"/>
        <w:gridCol w:w="1477"/>
        <w:gridCol w:w="202"/>
        <w:gridCol w:w="109"/>
        <w:gridCol w:w="109"/>
        <w:gridCol w:w="109"/>
        <w:gridCol w:w="252"/>
        <w:gridCol w:w="862"/>
        <w:gridCol w:w="130"/>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(40,407)</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 addresses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(55,789)</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pPr>
      <w:r>
        <w:rPr>
          <w:rFonts w:ascii="Times New Roman;serif" w:hAnsi="Times New Roman;serif"/>
          <w:b w:val="false"/>
          <w:color w:val="000000"/>
          <w:sz w:val="20"/>
        </w:rPr>
        <w:t xml:space="preserve">Intangible assets are primarily acquired through business combinations. See Note 4, </w:t>
      </w:r>
      <w:r>
        <w:rPr>
          <w:rFonts w:ascii="Times New Roman;serif" w:hAnsi="Times New Roman;serif"/>
          <w:b w:val="false"/>
          <w:i/>
          <w:color w:val="000000"/>
          <w:sz w:val="20"/>
        </w:rPr>
        <w:t>Business Combinations</w:t>
      </w:r>
      <w:r>
        <w:rPr>
          <w:rFonts w:ascii="Times New Roman;serif" w:hAnsi="Times New Roman;serif"/>
          <w:b w:val="false"/>
          <w:color w:val="000000"/>
          <w:sz w:val="20"/>
        </w:rPr>
        <w:t>, for further details. During the year ended January 31, 2025, the Company purchased $24.0 million of intangible assets for IP addresses and the costs are amortized on a straight-line basis over an estimated useful life of ten years.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amortized on a straight-line basis. Amortization expense of intangible assets was $3.8 million and $6.9 million for the three and six months ended July 31, 2025, respectively and $0.1 million and $2.8 million for the three and six months ended July 31, 2024, respectively. Amortization expense for developed technology is included as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revenue and research and development expense in the Company’s interim condensed consolidated statements of operations. Amortization expense for customer relationships is included as sales and marketing expense in the Company’s interim condensed consolidated statements of operations. Amortization expense for IP addresses is included as cost of subscription revenue in the Company’s interim condensed consolidated statements of operations.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2025, future amortization expense related to the intangible assets is as follows (in thousands):</w:t>
      </w:r>
    </w:p>
    <w:tbl>
      <w:tblPr>
        <w:tblW w:w="2765" w:type="dxa"/>
        <w:jc w:val="left"/>
        <w:tblInd w:w="0" w:type="dxa"/>
        <w:tblLayout w:type="fixed"/>
        <w:tblCellMar>
          <w:top w:w="28" w:type="dxa"/>
          <w:left w:w="28" w:type="dxa"/>
          <w:bottom w:w="28" w:type="dxa"/>
          <w:right w:w="28" w:type="dxa"/>
        </w:tblCellMar>
      </w:tblPr>
      <w:tblGrid>
        <w:gridCol w:w="608"/>
        <w:gridCol w:w="534"/>
        <w:gridCol w:w="537"/>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Fiscal Period:</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6.Convertible Senior Notes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called for redemption were converted by holders at any time before 5:00 p.m. (New York City time) on December 13, 2024 (the “Conversion Deadline”). The Conversion Rate for 2026 Notes converted after the date of the 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Refer to Note 6, </w:t>
      </w:r>
      <w:r>
        <w:rPr>
          <w:rFonts w:ascii="Times New Roman;serif" w:hAnsi="Times New Roman;serif"/>
          <w:b w:val="false"/>
          <w:i/>
          <w:color w:val="000000"/>
          <w:sz w:val="20"/>
        </w:rPr>
        <w:t>Convertible Senior Notes</w:t>
      </w:r>
      <w:r>
        <w:rPr>
          <w:rFonts w:ascii="Times New Roman;serif" w:hAnsi="Times New Roman;serif"/>
          <w:b w:val="false"/>
          <w:color w:val="000000"/>
          <w:sz w:val="20"/>
        </w:rPr>
        <w:t>, in the Notes to Consolidated Financial Statements included in Part II, Item 8 of the Company’s 2025 Form 10-K for further information on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2024, the Company elected cash settlement for the Capped Calls associated with the 2024 Notes. Upon the cash settlement election, the instrument, initially indexed to the Company’s own stock, no 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In June 2024, the derivative asset was settled and the Company received $170.6 million in cash and recognized a realized gain of $0.9 million three and six months ended July 31, 2024, which was recorded in other income (expense), net, on the Company’s interim condensed consolidated statements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July 31, 2025.</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Refer to Note 6, </w:t>
      </w:r>
      <w:r>
        <w:rPr>
          <w:rFonts w:ascii="Times New Roman;serif" w:hAnsi="Times New Roman;serif"/>
          <w:b w:val="false"/>
          <w:i/>
          <w:color w:val="000000"/>
          <w:sz w:val="20"/>
        </w:rPr>
        <w:t>Convertible Senior Notes</w:t>
      </w:r>
      <w:r>
        <w:rPr>
          <w:rFonts w:ascii="Times New Roman;serif" w:hAnsi="Times New Roman;serif"/>
          <w:b w:val="false"/>
          <w:color w:val="000000"/>
          <w:sz w:val="20"/>
        </w:rPr>
        <w:t>, in the Notes to Consolidated Financial Statements included in Part II, Item 8 of the Company’s 2025 Form 10-K for further information on the Capped Calls.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7.Leases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Lease Costs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lease costs included in its interim condensed consolidated statements of operations were as follows (in thousands):</w:t>
      </w:r>
    </w:p>
    <w:tbl>
      <w:tblPr>
        <w:tblW w:w="9015" w:type="dxa"/>
        <w:jc w:val="left"/>
        <w:tblInd w:w="0" w:type="dxa"/>
        <w:tblLayout w:type="fixed"/>
        <w:tblCellMar>
          <w:top w:w="28" w:type="dxa"/>
          <w:left w:w="28" w:type="dxa"/>
          <w:bottom w:w="28" w:type="dxa"/>
          <w:right w:w="28" w:type="dxa"/>
        </w:tblCellMar>
      </w:tblPr>
      <w:tblGrid>
        <w:gridCol w:w="1449"/>
        <w:gridCol w:w="1274"/>
        <w:gridCol w:w="1281"/>
        <w:gridCol w:w="214"/>
        <w:gridCol w:w="626"/>
        <w:gridCol w:w="110"/>
        <w:gridCol w:w="110"/>
        <w:gridCol w:w="110"/>
        <w:gridCol w:w="110"/>
        <w:gridCol w:w="214"/>
        <w:gridCol w:w="626"/>
        <w:gridCol w:w="110"/>
        <w:gridCol w:w="109"/>
        <w:gridCol w:w="109"/>
        <w:gridCol w:w="109"/>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finance lease right-of-use assets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 liabilities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Balance Sheet Components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balances of the Company’s finance and operating leases were recorded on the condensed consolidated balance sheets as follows (in thousands):</w:t>
      </w:r>
    </w:p>
    <w:tbl>
      <w:tblPr>
        <w:tblW w:w="6101" w:type="dxa"/>
        <w:jc w:val="left"/>
        <w:tblInd w:w="0" w:type="dxa"/>
        <w:tblLayout w:type="fixed"/>
        <w:tblCellMar>
          <w:top w:w="28" w:type="dxa"/>
          <w:left w:w="28" w:type="dxa"/>
          <w:bottom w:w="28" w:type="dxa"/>
          <w:right w:w="28" w:type="dxa"/>
        </w:tblCellMar>
      </w:tblPr>
      <w:tblGrid>
        <w:gridCol w:w="1173"/>
        <w:gridCol w:w="1028"/>
        <w:gridCol w:w="1039"/>
        <w:gridCol w:w="222"/>
        <w:gridCol w:w="759"/>
        <w:gridCol w:w="114"/>
        <w:gridCol w:w="109"/>
        <w:gridCol w:w="109"/>
        <w:gridCol w:w="109"/>
        <w:gridCol w:w="279"/>
        <w:gridCol w:w="956"/>
        <w:gridCol w:w="20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Maturities of Lease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finance and operating leases on an annual undiscounted cash flow basis as of July 31, 2025 were as follows (in thousands):</w:t>
      </w:r>
    </w:p>
    <w:tbl>
      <w:tblPr>
        <w:tblW w:w="7222" w:type="dxa"/>
        <w:jc w:val="left"/>
        <w:tblInd w:w="0" w:type="dxa"/>
        <w:tblLayout w:type="fixed"/>
        <w:tblCellMar>
          <w:top w:w="28" w:type="dxa"/>
          <w:left w:w="28" w:type="dxa"/>
          <w:bottom w:w="28" w:type="dxa"/>
          <w:right w:w="28" w:type="dxa"/>
        </w:tblCellMar>
      </w:tblPr>
      <w:tblGrid>
        <w:gridCol w:w="1458"/>
        <w:gridCol w:w="1281"/>
        <w:gridCol w:w="1295"/>
        <w:gridCol w:w="109"/>
        <w:gridCol w:w="109"/>
        <w:gridCol w:w="109"/>
        <w:gridCol w:w="228"/>
        <w:gridCol w:w="779"/>
        <w:gridCol w:w="117"/>
        <w:gridCol w:w="109"/>
        <w:gridCol w:w="109"/>
        <w:gridCol w:w="109"/>
        <w:gridCol w:w="274"/>
        <w:gridCol w:w="936"/>
        <w:gridCol w:w="200"/>
      </w:tblGrid>
      <w:tr>
        <w:trPr/>
        <w:tc>
          <w:tcPr>
            <w:tcW w:w="145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Non-current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Non-cancelable Material Commitments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During the six months ended July 31, 2025, </w:t>
      </w:r>
      <w:r>
        <w:rPr>
          <w:rFonts w:ascii="Times New Roman;serif" w:hAnsi="Times New Roman;serif"/>
          <w:b w:val="false"/>
          <w:color w:val="000000"/>
          <w:sz w:val="20"/>
          <w:shd w:fill="FFFFFF" w:val="clear"/>
        </w:rPr>
        <w:t xml:space="preserve">other than certain non-cancelable operating leases described in Note 7, </w:t>
      </w:r>
      <w:r>
        <w:rPr>
          <w:rFonts w:ascii="Times New Roman;serif" w:hAnsi="Times New Roman;serif"/>
          <w:b w:val="false"/>
          <w:i/>
          <w:color w:val="000000"/>
          <w:sz w:val="20"/>
          <w:shd w:fill="FFFFFF" w:val="clear"/>
        </w:rPr>
        <w:t>Leases</w:t>
      </w:r>
      <w:r>
        <w:rPr>
          <w:rFonts w:ascii="Times New Roman;serif" w:hAnsi="Times New Roman;serif"/>
          <w:b w:val="false"/>
          <w:color w:val="000000"/>
          <w:sz w:val="20"/>
          <w:shd w:fill="FFFFFF" w:val="clear"/>
        </w:rPr>
        <w:t>, there have been no material changes outside the ordinary course of business t</w:t>
      </w:r>
      <w:r>
        <w:rPr>
          <w:rFonts w:ascii="Times New Roman;serif" w:hAnsi="Times New Roman;serif"/>
          <w:b w:val="false"/>
          <w:color w:val="000000"/>
          <w:sz w:val="20"/>
        </w:rPr>
        <w:t>o the Company’s contractual obligations and commitments from those disclosed in the 2025 Form 10-K.</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Legal Matters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The Court has not yet ruled on Defendants’ motion. The Company is unable to estimate any reasonably possible loss, or range of loss, with respect to these matters at this time. The Company intends to vigorously defend itself in this matter.</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On October 7, 2024, a purported shareholder derivative lawsuit was filed in the U.S. District Court for the Southern District of New York, Case. No. 1:24-cv-07594, against the Company, as a nominal defendant, and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serif" w:hAnsi="Times New Roman;serif"/>
          <w:b w:val="false"/>
          <w:i/>
          <w:color w:val="000000"/>
          <w:sz w:val="20"/>
        </w:rPr>
        <w:t>Roy</w:t>
      </w:r>
      <w:r>
        <w:rPr>
          <w:color w:val="000000"/>
        </w:rPr>
        <w:t xml:space="preserve"> </w:t>
      </w:r>
      <w:r>
        <w:rPr>
          <w:rFonts w:ascii="Times New Roman;serif" w:hAnsi="Times New Roman;serif"/>
          <w:b w:val="false"/>
          <w:color w:val="000000"/>
          <w:sz w:val="20"/>
        </w:rPr>
        <w:t>action with the caption</w:t>
      </w:r>
      <w:r>
        <w:rPr>
          <w:color w:val="000000"/>
        </w:rPr>
        <w:t xml:space="preserve"> </w:t>
      </w:r>
      <w:r>
        <w:rPr>
          <w:rFonts w:ascii="Times New Roman;serif" w:hAnsi="Times New Roman;serif"/>
          <w:b w:val="false"/>
          <w:i/>
          <w:color w:val="000000"/>
          <w:sz w:val="20"/>
        </w:rPr>
        <w:t>In re MongoDB, Inc. Shareholder Litigation</w:t>
      </w:r>
      <w:r>
        <w:rPr>
          <w:color w:val="000000"/>
        </w:rPr>
        <w:t xml:space="preserve"> </w:t>
      </w:r>
      <w:r>
        <w:rPr>
          <w:rFonts w:ascii="Times New Roman;serif" w:hAnsi="Times New Roman;serif"/>
          <w:b w:val="false"/>
          <w:color w:val="000000"/>
          <w:sz w:val="20"/>
        </w:rPr>
        <w:t xml:space="preserve">(the “Derivative Litigation”). The Derivative Litigation is at an early stage and has been stayed pending the outcome of the Court’s decision on the defendants’ motion to dismiss the Securities Action.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claims and litigation are inherently unpredictable, as of July 31, 2025,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Indemnification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Revenue</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Disaggregation of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revenues disaggregated by primary geographical markets, subscription product categories and services (in thousands): </w:t>
      </w:r>
    </w:p>
    <w:tbl>
      <w:tblPr>
        <w:tblW w:w="9554" w:type="dxa"/>
        <w:jc w:val="left"/>
        <w:tblInd w:w="0" w:type="dxa"/>
        <w:tblLayout w:type="fixed"/>
        <w:tblCellMar>
          <w:top w:w="28" w:type="dxa"/>
          <w:left w:w="28" w:type="dxa"/>
          <w:bottom w:w="28" w:type="dxa"/>
          <w:right w:w="28" w:type="dxa"/>
        </w:tblCellMar>
      </w:tblPr>
      <w:tblGrid>
        <w:gridCol w:w="1376"/>
        <w:gridCol w:w="1206"/>
        <w:gridCol w:w="121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Primary geographical markets: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Americas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Asia Pacific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product categories and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MongoDB Atlas-related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i/>
          <w:color w:val="2C2C2C"/>
          <w:sz w:val="20"/>
        </w:rPr>
      </w:pPr>
      <w:r>
        <w:rPr>
          <w:rFonts w:ascii="Times New Roman;serif" w:hAnsi="Times New Roman;serif"/>
          <w:b w:val="false"/>
          <w:i/>
          <w:color w:val="2C2C2C"/>
          <w:sz w:val="20"/>
        </w:rPr>
        <w:t>Contract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July 31, 2025 and January 31, 2025 was $309.2 million and $359.8 million, respectively. Approximately 21% and 27% of the total revenue recognized for the six months ended July 31, 2025 and 2024, respectively, was from deferred revenue at the beginning of each respective period.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Remaining Performance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July 31, 2025, the aggregate transaction price allocated to remaining performance obligations was $794.2 million. Approximately 58% is expected to be recognized as revenue over the next 12 months, 38% in 13 to 36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Unbilled Receivables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July 31, 2025 and January 31, 2025, unbilled receivables were $20.6 million and $22.5 million, respectively.</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Allowance for Doubtful Accounts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4978" w:type="dxa"/>
        <w:jc w:val="left"/>
        <w:tblInd w:w="0" w:type="dxa"/>
        <w:tblLayout w:type="fixed"/>
        <w:tblCellMar>
          <w:top w:w="28" w:type="dxa"/>
          <w:left w:w="28" w:type="dxa"/>
          <w:bottom w:w="28" w:type="dxa"/>
          <w:right w:w="28" w:type="dxa"/>
        </w:tblCellMar>
      </w:tblPr>
      <w:tblGrid>
        <w:gridCol w:w="875"/>
        <w:gridCol w:w="767"/>
        <w:gridCol w:w="772"/>
        <w:gridCol w:w="498"/>
        <w:gridCol w:w="1703"/>
        <w:gridCol w:w="363"/>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Doubtful Accounts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31, 2025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Recoveries/write-offs</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180" w:after="180"/>
        <w:jc w:val="left"/>
        <w:rPr>
          <w:rFonts w:ascii="Times New Roman;serif" w:hAnsi="Times New Roman;serif"/>
          <w:b w:val="false"/>
          <w:i/>
          <w:color w:val="2C2C2C"/>
          <w:sz w:val="20"/>
        </w:rPr>
      </w:pPr>
      <w:r>
        <w:rPr>
          <w:rFonts w:ascii="Times New Roman;serif" w:hAnsi="Times New Roman;serif"/>
          <w:b w:val="false"/>
          <w:i/>
          <w:color w:val="2C2C2C"/>
          <w:sz w:val="20"/>
        </w:rPr>
        <w:t>Costs Capitalized to Obtain Contracts with Customers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commissions were $348.9 million and $363.4 million as of July 31, 2025 and January 31, 2025, respectively, of which $229.3 million and $250.7 million comprised the non-current portion and was included in other assets on the Company’s consolidated balance sheets as of July 31, 2025 and January 31, 2025, respectively. Amortization expense with respect to deferred commissions, which is included in sales and marketing expense in the Company’s interim condensed consolidated statements of operations, was $36.9 million and $68.0 million for the three and six months ended July 31, 2025, respectively, and $27.2 million and $53.6 million for the three and six months ended July 31, 2024, respectively. There was no impairment loss in relation to the costs capitalized for the periods presented.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0" w:after="180"/>
        <w:jc w:val="left"/>
        <w:rPr>
          <w:rFonts w:ascii="Times New Roman;serif" w:hAnsi="Times New Roman;serif"/>
          <w:b/>
          <w:color w:val="2C2C2C"/>
          <w:sz w:val="20"/>
        </w:rPr>
      </w:pPr>
      <w:r>
        <w:rPr>
          <w:rFonts w:ascii="Times New Roman;serif" w:hAnsi="Times New Roman;serif"/>
          <w:b/>
          <w:color w:val="2C2C2C"/>
          <w:sz w:val="20"/>
        </w:rPr>
        <w:t>Equity Incentive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restricted stock awards (“RSAs”)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Stock Options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six months ended July 31, 2025 (in thousands, except share and per share data and years):</w:t>
      </w:r>
    </w:p>
    <w:tbl>
      <w:tblPr>
        <w:tblW w:w="9865" w:type="dxa"/>
        <w:jc w:val="left"/>
        <w:tblInd w:w="0" w:type="dxa"/>
        <w:tblLayout w:type="fixed"/>
        <w:tblCellMar>
          <w:top w:w="28" w:type="dxa"/>
          <w:left w:w="28" w:type="dxa"/>
          <w:bottom w:w="28" w:type="dxa"/>
          <w:right w:w="28" w:type="dxa"/>
        </w:tblCellMar>
      </w:tblPr>
      <w:tblGrid>
        <w:gridCol w:w="1278"/>
        <w:gridCol w:w="1122"/>
        <w:gridCol w:w="1124"/>
        <w:gridCol w:w="449"/>
        <w:gridCol w:w="451"/>
        <w:gridCol w:w="196"/>
        <w:gridCol w:w="109"/>
        <w:gridCol w:w="109"/>
        <w:gridCol w:w="109"/>
        <w:gridCol w:w="384"/>
        <w:gridCol w:w="931"/>
        <w:gridCol w:w="199"/>
        <w:gridCol w:w="109"/>
        <w:gridCol w:w="109"/>
        <w:gridCol w:w="109"/>
        <w:gridCol w:w="519"/>
        <w:gridCol w:w="519"/>
        <w:gridCol w:w="521"/>
        <w:gridCol w:w="109"/>
        <w:gridCol w:w="109"/>
        <w:gridCol w:w="109"/>
        <w:gridCol w:w="211"/>
        <w:gridCol w:w="82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Exercise </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Weighted- Average </w:t>
              <w:br/>
              <w:t xml:space="preserve">Remaining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 xml:space="preserve">Aggregate </w:t>
              <w:br/>
              <w:t xml:space="preserve">Intrinsic </w:t>
              <w:br/>
              <w:t>Value</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January 31, 2025</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Stock options forfeited and expired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 July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 January 31, 2025</w:t>
            </w:r>
          </w:p>
        </w:tc>
        <w:tc>
          <w:tcPr>
            <w:tcW w:w="9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567,425 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 July 31, 2025</w:t>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321,613 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for the six months ended July 31, 2025:</w:t>
      </w:r>
    </w:p>
    <w:tbl>
      <w:tblPr>
        <w:tblW w:w="7812" w:type="dxa"/>
        <w:jc w:val="left"/>
        <w:tblInd w:w="0" w:type="dxa"/>
        <w:tblLayout w:type="fixed"/>
        <w:tblCellMar>
          <w:top w:w="28" w:type="dxa"/>
          <w:left w:w="28" w:type="dxa"/>
          <w:bottom w:w="28" w:type="dxa"/>
          <w:right w:w="28" w:type="dxa"/>
        </w:tblCellMar>
      </w:tblPr>
      <w:tblGrid>
        <w:gridCol w:w="880"/>
        <w:gridCol w:w="773"/>
        <w:gridCol w:w="776"/>
        <w:gridCol w:w="488"/>
        <w:gridCol w:w="488"/>
        <w:gridCol w:w="196"/>
        <w:gridCol w:w="109"/>
        <w:gridCol w:w="109"/>
        <w:gridCol w:w="109"/>
        <w:gridCol w:w="753"/>
        <w:gridCol w:w="2578"/>
        <w:gridCol w:w="553"/>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Weighted-Average Grant Date Fair Value per RSU</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January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2,538,449 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194.69 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 and canceled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267.65 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July 31,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4,800,735 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Restricted Stock Awards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has granted restricted common stock outside of the Plans. Restricted common stock is not deemed to be outstanding for accounting purposes until it vests. Refer to Note 4,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for further details on the issuance of restricted stock awards in connection with the acquisition of Voyage AI.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RSA activity for the six months ended July 31, 2025:</w:t>
      </w:r>
    </w:p>
    <w:tbl>
      <w:tblPr>
        <w:tblW w:w="7662" w:type="dxa"/>
        <w:jc w:val="left"/>
        <w:tblInd w:w="0" w:type="dxa"/>
        <w:tblLayout w:type="fixed"/>
        <w:tblCellMar>
          <w:top w:w="28" w:type="dxa"/>
          <w:left w:w="28" w:type="dxa"/>
          <w:bottom w:w="28" w:type="dxa"/>
          <w:right w:w="28" w:type="dxa"/>
        </w:tblCellMar>
      </w:tblPr>
      <w:tblGrid>
        <w:gridCol w:w="880"/>
        <w:gridCol w:w="773"/>
        <w:gridCol w:w="776"/>
        <w:gridCol w:w="413"/>
        <w:gridCol w:w="413"/>
        <w:gridCol w:w="196"/>
        <w:gridCol w:w="109"/>
        <w:gridCol w:w="109"/>
        <w:gridCol w:w="109"/>
        <w:gridCol w:w="753"/>
        <w:gridCol w:w="2578"/>
        <w:gridCol w:w="553"/>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Weighted-Average Grant Date Fair Value per RSA</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January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granted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RSAs forfeited and canceled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July 31,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292.05 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Executive Performance Share Awards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PSU activity for the six months ended July 31, 2025:</w:t>
      </w:r>
    </w:p>
    <w:tbl>
      <w:tblPr>
        <w:tblW w:w="8683" w:type="dxa"/>
        <w:jc w:val="left"/>
        <w:tblInd w:w="0" w:type="dxa"/>
        <w:tblLayout w:type="fixed"/>
        <w:tblCellMar>
          <w:top w:w="28" w:type="dxa"/>
          <w:left w:w="28" w:type="dxa"/>
          <w:bottom w:w="28" w:type="dxa"/>
          <w:right w:w="28" w:type="dxa"/>
        </w:tblCellMar>
      </w:tblPr>
      <w:tblGrid>
        <w:gridCol w:w="1255"/>
        <w:gridCol w:w="1103"/>
        <w:gridCol w:w="1107"/>
        <w:gridCol w:w="413"/>
        <w:gridCol w:w="413"/>
        <w:gridCol w:w="196"/>
        <w:gridCol w:w="109"/>
        <w:gridCol w:w="109"/>
        <w:gridCol w:w="109"/>
        <w:gridCol w:w="750"/>
        <w:gridCol w:w="2568"/>
        <w:gridCol w:w="551"/>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Weighted-Average Grant Date Fair Value per PSU</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January 31, 2025</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performance achievement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forfeited and canceled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 July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2C2C2C"/>
          <w:sz w:val="20"/>
        </w:rPr>
      </w:pPr>
      <w:r>
        <w:rPr>
          <w:rFonts w:ascii="Times New Roman;serif" w:hAnsi="Times New Roman;serif"/>
          <w:b/>
          <w:color w:val="2C2C2C"/>
          <w:sz w:val="20"/>
        </w:rPr>
        <w:t>2017 Employee Stock Purchase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2025, the Company issued 131,117 shares of its common stock under the 2017 ESPP. The Company’s current offering period began on June 16, 2025 and is expected to end December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color w:val="2C2C2C"/>
          <w:sz w:val="20"/>
        </w:rPr>
      </w:pPr>
      <w:r>
        <w:rPr>
          <w:rFonts w:ascii="Times New Roman;serif" w:hAnsi="Times New Roman;serif"/>
          <w:b/>
          <w:color w:val="2C2C2C"/>
          <w:sz w:val="20"/>
        </w:rPr>
        <w:t>Stock-Based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in the Company’s interim condensed consolidated statements of operations is as follows (in thousands):</w:t>
      </w:r>
    </w:p>
    <w:tbl>
      <w:tblPr>
        <w:tblW w:w="9432"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2C2C2C"/>
          <w:sz w:val="20"/>
        </w:rPr>
      </w:pPr>
      <w:r>
        <w:rPr>
          <w:rFonts w:ascii="Times New Roman;serif" w:hAnsi="Times New Roman;serif"/>
          <w:b/>
          <w:color w:val="2C2C2C"/>
          <w:sz w:val="20"/>
        </w:rPr>
        <w:t>Share Repurchase Program</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 program to repurchase up to $200.0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 In June 2025, the Company’s Board of Directors authorized an additional $800.0 million in repurchases under the Share Repurchase Program, bringing the aggregate authorized repurchase amount to $1.0 billion.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31, 2025, the Company repurchased 929,674 shares of common stock for $200.0 million, of which, $5.6 million is included in other accrued liabilities on the Company’s condensed consolidated balance sheet as of July 31, 2025, at an average price per share of $215.86. All repurchases were made in open market transactions and recorded in treasury stock.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restricted stock awards. Basic and diluted net loss per share was the same for each period presented, as the inclusion of all potential common shares outstanding would have been anti-dilutive due to the net loss reported for each period presented.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88"/>
        <w:gridCol w:w="1397"/>
        <w:gridCol w:w="1414"/>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11"/>
        <w:gridCol w:w="888"/>
        <w:gridCol w:w="156"/>
      </w:tblGrid>
      <w:tr>
        <w:trPr/>
        <w:tc>
          <w:tcPr>
            <w:tcW w:w="15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to compute net loss per share, basic and diluted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73,269,824 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2024 Notes and 2026 Notes, the Company entered into Capped Calls,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pPr>
      <w:r>
        <w:rPr>
          <w:rFonts w:ascii="Times New Roman;serif" w:hAnsi="Times New Roman;serif"/>
          <w:b w:val="false"/>
          <w:color w:val="000000"/>
          <w:sz w:val="20"/>
        </w:rPr>
        <w:t xml:space="preserve">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6. </w:t>
      </w:r>
      <w:r>
        <w:rPr>
          <w:rFonts w:ascii="Times New Roman;serif" w:hAnsi="Times New Roman;serif"/>
          <w:b w:val="false"/>
          <w:i/>
          <w:color w:val="000000"/>
          <w:sz w:val="20"/>
        </w:rPr>
        <w:t>Convertible Senior Notes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tbl>
      <w:tblPr>
        <w:tblW w:w="10205" w:type="dxa"/>
        <w:jc w:val="left"/>
        <w:tblInd w:w="0" w:type="dxa"/>
        <w:tblLayout w:type="fixed"/>
        <w:tblCellMar>
          <w:top w:w="28" w:type="dxa"/>
          <w:left w:w="28" w:type="dxa"/>
          <w:bottom w:w="28" w:type="dxa"/>
          <w:right w:w="28" w:type="dxa"/>
        </w:tblCellMar>
      </w:tblPr>
      <w:tblGrid>
        <w:gridCol w:w="1274"/>
        <w:gridCol w:w="1023"/>
        <w:gridCol w:w="1027"/>
        <w:gridCol w:w="109"/>
        <w:gridCol w:w="109"/>
        <w:gridCol w:w="109"/>
        <w:gridCol w:w="677"/>
        <w:gridCol w:w="299"/>
        <w:gridCol w:w="191"/>
        <w:gridCol w:w="191"/>
        <w:gridCol w:w="191"/>
        <w:gridCol w:w="191"/>
        <w:gridCol w:w="749"/>
        <w:gridCol w:w="332"/>
        <w:gridCol w:w="191"/>
        <w:gridCol w:w="109"/>
        <w:gridCol w:w="109"/>
        <w:gridCol w:w="109"/>
        <w:gridCol w:w="616"/>
        <w:gridCol w:w="360"/>
        <w:gridCol w:w="178"/>
        <w:gridCol w:w="178"/>
        <w:gridCol w:w="178"/>
        <w:gridCol w:w="178"/>
        <w:gridCol w:w="682"/>
        <w:gridCol w:w="399"/>
        <w:gridCol w:w="178"/>
        <w:gridCol w:w="109"/>
        <w:gridCol w:w="159"/>
      </w:tblGrid>
      <w:tr>
        <w:trPr/>
        <w:tc>
          <w:tcPr>
            <w:tcW w:w="127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Stock options pursuant to the 2016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323,985 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pursuant to the 2008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4,800,735 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3,985,680 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4,800,735 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executive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of the 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5,464,332 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10,289,873 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5,464,332 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10,257,531 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taxes of $3.9 million and 8.2 million for the three and six months ended July 31, 2025, respectively, and $3.9 million and $6.5 million for the three and six months ended July 31, 2024, respectively. The provisions recorded during each of the three and six months ended July 31, 2025 and 2024 were driven by an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and Ireland net deferred tax assets, as it is more likely than not that some or all of the deferred tax assets will not be realized.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Company assesses uncertain tax positions in accordance with ASC 740-10, </w:t>
      </w:r>
      <w:r>
        <w:rPr>
          <w:rFonts w:ascii="Times New Roman;serif" w:hAnsi="Times New Roman;serif"/>
          <w:b w:val="false"/>
          <w:i/>
          <w:color w:val="000000"/>
          <w:sz w:val="20"/>
        </w:rPr>
        <w:t>Accounting for Uncertainties in Tax</w:t>
      </w:r>
      <w:r>
        <w:rPr>
          <w:rFonts w:ascii="Times New Roman;serif" w:hAnsi="Times New Roman;serif"/>
          <w:b w:val="false"/>
          <w:color w:val="000000"/>
          <w:sz w:val="20"/>
        </w:rPr>
        <w:t>. As of January 31, 2025, the Company’s net unrecognized tax benefits totaled $104.5 million, $1.3 million of which would have an impact on the Company’s effective tax rate if recognized.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the immediate expensing of United States research and development expenditures. The legislation has multiple effective dates, with certain provisions effective in the current fiscal period and others in the fiscal year ended January 31, 2027. We have completed a preliminary assessment of the related tax impact on our condensed consolidated financial statements. Given the ongoing tax losses and full valuation allowance against our domestic deferred tax assets, we do not expect any material impacts from the provisions effective in the fiscal year ended January 31, 2026 on our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Segment and Geographic Information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Segment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interim condensed consolidated statements of operations.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Customers located in the United States accounted for 54% of total revenue for both the three and six months ended July 31, 2025, respectively, and 53% of total revenue for both the three and six months ended July 31, 2024. No other country accounted for 10% or more of revenue for the periods presented.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located in the United States accounted for 85% of total long-lived assets as of July 31, 2025 and 83% as of July 31, 2024. Long-lived assets located in Ireland accounted for 12% of total long-lived assets as of July 31, 2024. No other countries accounted for 10% or more of long-lived assets as of July 31, 2025 and July 31, 2024.</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2025 (the “2025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Quarterly Report on Form 10-Q contains “forward-looking statements” within the meaning of Section 27A of the </w:t>
      </w:r>
      <w:r>
        <w:rPr>
          <w:rFonts w:ascii="Times New Roman;serif" w:hAnsi="Times New Roman;serif"/>
          <w:b w:val="false"/>
          <w:color w:val="000000"/>
          <w:sz w:val="20"/>
          <w:shd w:fill="FFFFFF" w:val="clear"/>
        </w:rPr>
        <w:t>Securities Act of 1933, as amended (the “Securities Act”),</w:t>
      </w:r>
      <w:r>
        <w:rPr>
          <w:color w:val="000000"/>
        </w:rPr>
        <w:t xml:space="preserve"> </w:t>
      </w:r>
      <w:r>
        <w:rPr>
          <w:rFonts w:ascii="Times New Roman;serif" w:hAnsi="Times New Roman;serif"/>
          <w:b w:val="false"/>
          <w:color w:val="000000"/>
          <w:sz w:val="20"/>
        </w:rPr>
        <w:t>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corporate website is located at </w:t>
      </w:r>
      <w:r>
        <w:rPr>
          <w:rFonts w:ascii="Times New Roman;serif" w:hAnsi="Times New Roman;serif"/>
          <w:b w:val="false"/>
          <w:i/>
          <w:color w:val="000000"/>
          <w:sz w:val="20"/>
        </w:rPr>
        <w:t>www.mongodb.com</w:t>
      </w:r>
      <w:r>
        <w:rPr>
          <w:rFonts w:ascii="Times New Roman;serif" w:hAnsi="Times New Roman;serif"/>
          <w:b w:val="false"/>
          <w:color w:val="000000"/>
          <w:sz w:val="20"/>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5,654 as of July 31, 2025, from 5,360 as of July 31, 2024.</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We generate revenue primarily from sales of subscriptions, which accounted for </w:t>
      </w:r>
      <w:r>
        <w:rPr>
          <w:rFonts w:ascii="Times New Roman;serif" w:hAnsi="Times New Roman;serif"/>
          <w:b w:val="false"/>
          <w:color w:val="000000"/>
          <w:sz w:val="20"/>
        </w:rPr>
        <w:t>97%</w:t>
      </w:r>
      <w:r>
        <w:rPr>
          <w:color w:val="000000"/>
          <w:shd w:fill="FFFFFF" w:val="clear"/>
        </w:rPr>
        <w:t xml:space="preserve"> </w:t>
      </w:r>
      <w:r>
        <w:rPr>
          <w:rFonts w:ascii="Times New Roman;serif" w:hAnsi="Times New Roman;serif"/>
          <w:b w:val="false"/>
          <w:color w:val="000000"/>
          <w:sz w:val="20"/>
          <w:shd w:fill="FFFFFF" w:val="clear"/>
        </w:rPr>
        <w:t>of our total revenue for both the three and</w:t>
      </w:r>
      <w:r>
        <w:rPr>
          <w:color w:val="000000"/>
        </w:rPr>
        <w:t xml:space="preserve"> </w:t>
      </w:r>
      <w:r>
        <w:rPr>
          <w:rFonts w:ascii="Times New Roman;serif" w:hAnsi="Times New Roman;serif"/>
          <w:b w:val="false"/>
          <w:color w:val="000000"/>
          <w:sz w:val="20"/>
        </w:rPr>
        <w:t>six months ended July 31, 2025, respectively, and 97% for both the three and six months ended July 31, 2024.</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MongoD</w:t>
      </w:r>
      <w:r>
        <w:rPr>
          <w:rFonts w:ascii="Times New Roman;serif" w:hAnsi="Times New Roman;serif"/>
          <w:b w:val="false"/>
          <w:color w:val="000000"/>
          <w:sz w:val="20"/>
        </w:rPr>
        <w:t>B Atlas is our hosted multi-cloud database-as-a-service (“DBaaS”) offering, which we run and manage in the cloud, and includes comprehensive infrastructure and management, as well as a host of additional features, such as MongoDB Atlas Search, Vector Search, time series, data lifecycle, application-driven analytics and stream processing. During the three and six months ended July 31, 2025, MongoDB Atlas revenue represented 74% and 73%, respectively, as compared to 71% and 70% of our total revenue during the three and six months ended July 31, 2024, respectively,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MongoDB Enterprise Advanced is our proprietary commercial database server offering for enterprise customers that can run in the cloud, on-premises or in a hybrid environment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MongoDB Enterprise Advanced revenue represented 21% and 21% for the three and six months ended July 31, 2025, respectively, and 24% of our subscription revenue for both the three and six months ended July 31, 2024.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erif" w:hAnsi="Times New Roman;serif"/>
          <w:b w:val="false"/>
          <w:color w:val="000000"/>
          <w:sz w:val="20"/>
          <w:shd w:fill="FFFFFF" w:val="clear"/>
        </w:rPr>
        <w:t xml:space="preserve">Our platform has been downloaded from our website more than 600 million times since February 2009. We also offer a free tier of MongoDB Atlas, which provides access to our hosted database solution with limited processing power and storage, as well as certain operational limitations. </w:t>
      </w:r>
      <w:r>
        <w:rPr>
          <w:rFonts w:ascii="Times New Roman;serif" w:hAnsi="Times New Roman;serif"/>
          <w:b w:val="false"/>
          <w:color w:val="000000"/>
          <w:sz w:val="20"/>
        </w:rPr>
        <w:t>As a result, with the availability of both Community Server and MongoDB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erif" w:hAnsi="Times New Roman;serif"/>
          <w:b w:val="false"/>
          <w:color w:val="000000"/>
          <w:sz w:val="20"/>
          <w:shd w:fill="FFFFFF" w:val="clear"/>
        </w:rPr>
        <w:t>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also generate revenue from services, which consist primarily of fees associated with consulting and training services. Revenue from services accoun</w:t>
      </w:r>
      <w:r>
        <w:rPr>
          <w:rFonts w:ascii="Times New Roman;serif" w:hAnsi="Times New Roman;serif"/>
          <w:b w:val="false"/>
          <w:color w:val="000000"/>
          <w:sz w:val="20"/>
          <w:shd w:fill="FFFFFF" w:val="clear"/>
        </w:rPr>
        <w:t xml:space="preserve">ted for </w:t>
      </w:r>
      <w:r>
        <w:rPr>
          <w:rFonts w:ascii="Times New Roman;serif" w:hAnsi="Times New Roman;serif"/>
          <w:b w:val="false"/>
          <w:color w:val="000000"/>
          <w:sz w:val="20"/>
        </w:rPr>
        <w:t xml:space="preserve">3% </w:t>
      </w:r>
      <w:r>
        <w:rPr>
          <w:rFonts w:ascii="Times New Roman;serif" w:hAnsi="Times New Roman;serif"/>
          <w:b w:val="false"/>
          <w:color w:val="000000"/>
          <w:sz w:val="20"/>
          <w:shd w:fill="FFFFFF" w:val="clear"/>
        </w:rPr>
        <w:t xml:space="preserve">of our total revenue for both the three and </w:t>
      </w:r>
      <w:r>
        <w:rPr>
          <w:rFonts w:ascii="Times New Roman;serif" w:hAnsi="Times New Roman;serif"/>
          <w:b w:val="false"/>
          <w:color w:val="000000"/>
          <w:sz w:val="20"/>
        </w:rPr>
        <w:t>six months ended July 31, 2025, and 3% for both the three and six months ended July 31,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expect to continue to invest in our services organization as we believe it plays an important role in accelerating our customers’ realization of the benefits of our platform, which helps drive customer retention and expansion.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 market for our offerings is large and growing. According to IDC, the worldwide data software market, which it refers to as the Data Management Software market, was $106 billion in 2024 growing to approximately $191 billion in 2029. This represents a 13% compound annual growth rate.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and have made substantial investments in developing our platform and expanding our sales and marketing footprint. We intend to continue to invest to grow our business to take advantage of our market opportunity.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Macroeconomic and Other Factors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operational and financial performance is subject to risks including those caused by the adverse macroeconomic environment and the geopolitical landscape.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include slower or negative economic growth and higher inflation. During the six months ended July 31, 2025, the macroeconomic environment negatively impacted our business.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II, Item 1A of this Quarterly Report on Form 10-Q. Other factors affecting our performance are discussed below.</w:t>
      </w:r>
    </w:p>
    <w:p>
      <w:pPr>
        <w:pStyle w:val="TextBody"/>
        <w:bidi w:val="0"/>
        <w:spacing w:lineRule="auto" w:line="288" w:before="0" w:after="180"/>
        <w:jc w:val="left"/>
        <w:rPr>
          <w:rFonts w:ascii="Times New Roman;serif" w:hAnsi="Times New Roman;serif"/>
          <w:b w:val="false"/>
          <w:i/>
          <w:color w:val="2C2C2C"/>
          <w:sz w:val="20"/>
          <w:shd w:fill="FFFFFF" w:val="clear"/>
        </w:rPr>
      </w:pPr>
      <w:r>
        <w:rPr>
          <w:rFonts w:ascii="Times New Roman;serif" w:hAnsi="Times New Roman;serif"/>
          <w:b w:val="false"/>
          <w:i/>
          <w:color w:val="2C2C2C"/>
          <w:sz w:val="20"/>
          <w:shd w:fill="FFFFFF" w:val="clear"/>
        </w:rPr>
        <w:t>Growing Our Customer Base and Expanding Our Global Reach</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We are intensely focused on continuing to grow our customer base. We have invested, and expect to continue to invest, in our sales and marketi</w:t>
      </w:r>
      <w:r>
        <w:rPr>
          <w:rFonts w:ascii="Times New Roman;serif" w:hAnsi="Times New Roman;serif"/>
          <w:b w:val="false"/>
          <w:color w:val="000000"/>
          <w:sz w:val="20"/>
        </w:rPr>
        <w:t>ng efforts and developer community outreach, which are critical to driving customer acquisition. As of July 31, 2025, we had over 59,900 customers across a wide range of industries and in over 100 countries, compared to over 50,700 customers as of July 31, 2024. All affiliated entities are counted as a single customer and our definition of “customer” excludes users of our free offerings.</w:t>
      </w:r>
    </w:p>
    <w:p>
      <w:pPr>
        <w:pStyle w:val="TextBody"/>
        <w:bidi w:val="0"/>
        <w:spacing w:lineRule="auto" w:line="288" w:before="0" w:after="180"/>
        <w:ind w:left="0" w:right="0" w:firstLine="720"/>
        <w:jc w:val="left"/>
        <w:rPr/>
      </w:pPr>
      <w:r>
        <w:rPr>
          <w:rFonts w:ascii="Times New Roman;serif" w:hAnsi="Times New Roman;serif"/>
          <w:b w:val="false"/>
          <w:color w:val="000000"/>
          <w:sz w:val="20"/>
        </w:rPr>
        <w:t xml:space="preserve">As of July 31, 2025, we had over 7,300 customers that were sold through our direct sales force and channel partners, as compared to over 7,300 such customers as of July 31, 2024. These customers, which we refer to as our Direct Sales Customers, accounted for 87% of our subscription revenue for both the three and six months ended July 31, 2025 and 87% for both the three and six months ended July 31, 2024, respectively. We plan to continue to invest in acquiring new customers and additional workloads from existing customers across all of our channels. We had over 58,300 </w:t>
      </w:r>
      <w:r>
        <w:rPr>
          <w:rFonts w:ascii="Times New Roman;serif" w:hAnsi="Times New Roman;serif"/>
          <w:b w:val="false"/>
          <w:color w:val="000000"/>
          <w:sz w:val="20"/>
          <w:shd w:fill="FFFFFF" w:val="clear"/>
        </w:rPr>
        <w:t xml:space="preserve">MongoDB Atlas customers as of </w:t>
      </w:r>
      <w:r>
        <w:rPr>
          <w:rFonts w:ascii="Times New Roman;serif" w:hAnsi="Times New Roman;serif"/>
          <w:b w:val="false"/>
          <w:color w:val="000000"/>
          <w:sz w:val="20"/>
        </w:rPr>
        <w:t xml:space="preserve">July 31, 2025 compared to over 49,200 as of July 31, 2024. </w:t>
      </w:r>
      <w:r>
        <w:rPr>
          <w:rFonts w:ascii="Times New Roman;serif" w:hAnsi="Times New Roman;serif"/>
          <w:b w:val="false"/>
          <w:color w:val="000000"/>
          <w:sz w:val="20"/>
          <w:shd w:fill="FFFFFF" w:val="clear"/>
        </w:rPr>
        <w:t>The growth in MongoDB Atlas customers included new customers to MongoDB and existing MongoDB Enterprise Advanced customers adding incremental MongoDB Atlas workloads.</w:t>
      </w:r>
    </w:p>
    <w:p>
      <w:pPr>
        <w:pStyle w:val="TextBody"/>
        <w:bidi w:val="0"/>
        <w:spacing w:lineRule="auto" w:line="288" w:before="0" w:after="180"/>
        <w:jc w:val="left"/>
        <w:rPr>
          <w:rFonts w:ascii="Times New Roman;serif" w:hAnsi="Times New Roman;serif"/>
          <w:b w:val="false"/>
          <w:i/>
          <w:color w:val="2C2C2C"/>
          <w:sz w:val="20"/>
          <w:shd w:fill="FFFFFF" w:val="clear"/>
        </w:rPr>
      </w:pPr>
      <w:r>
        <w:rPr>
          <w:rFonts w:ascii="Times New Roman;serif" w:hAnsi="Times New Roman;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and six months ended July 31, 2025, we believe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pPr>
      <w:r>
        <w:rPr>
          <w:rFonts w:ascii="Times New Roman;serif" w:hAnsi="Times New Roman;serif"/>
          <w:b w:val="false"/>
          <w:color w:val="000000"/>
          <w:sz w:val="20"/>
        </w:rPr>
        <w:t xml:space="preserve">exclude professional services. The number of customers with $100,000 or greater in ARR and annualized MRR was 2,564 and 2,189 as of July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examine the rate at which our customers increase their spend with us, which we call net ARR expansion rate. We calculate net ARR expansion rate by dividing the ARR and annualized MRR at the close of a given period (the “measurement period”), from customers who were also customers at the close of the same period in the prior year (the “base period”), by the ARR and annualized MRR from all customers at the close of the base period, including those who churned or reduced their subscriptions. As of July 31, 2025, our net ARR expansion rate was approximately 119%. Our net ARR expansion rate may fluctuate in future periods due to a variety of factors, including the volume and type of workloads that we onboard, growth rate of historical workloads on our platform and changes in the macroeconomic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Our subscription revenue is comprised of term licenses and database-as-a-service solutions. Revenue from our MongoDB Atlas database-as-a-service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Services Revenue.</w:t>
      </w:r>
      <w:r>
        <w:rPr>
          <w:color w:val="000000"/>
        </w:rPr>
        <w:t xml:space="preserve"> </w:t>
      </w:r>
      <w:r>
        <w:rPr>
          <w:rFonts w:ascii="Times New Roman;serif" w:hAnsi="Times New Roman;serif"/>
          <w:b w:val="false"/>
          <w:color w:val="000000"/>
          <w:sz w:val="20"/>
        </w:rPr>
        <w:t>Services revenue is comprised of consulting and training services and is recognized over the period of delivery of the applicable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Cost of Subscription Revenue.</w:t>
      </w:r>
      <w:r>
        <w:rPr>
          <w:color w:val="000000"/>
        </w:rPr>
        <w:t xml:space="preserve"> </w:t>
      </w:r>
      <w:r>
        <w:rPr>
          <w:rFonts w:ascii="Times New Roman;serif" w:hAnsi="Times New Roman;serif"/>
          <w:b w:val="false"/>
          <w:color w:val="000000"/>
          <w:sz w:val="20"/>
        </w:rPr>
        <w:t>Cost of subscription revenue primarily includes third-party cloud infrastructure expenses for our database-as-a-service 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Cost of Services Revenue. </w:t>
      </w:r>
      <w:r>
        <w:rPr>
          <w:rFonts w:ascii="Times New Roman;serif" w:hAnsi="Times New Roman;serif"/>
          <w:b w:val="false"/>
          <w:color w:val="000000"/>
          <w:sz w:val="20"/>
        </w:rPr>
        <w:t>Cost of services revenue primarily includes personnel costs, including salaries, bonuses and benefits, and stock</w:t>
        <w:noBreakHyphen/>
        <w:t>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Gross Margin.</w:t>
      </w:r>
      <w:r>
        <w:rPr>
          <w:color w:val="000000"/>
        </w:rPr>
        <w:t xml:space="preserve"> </w:t>
      </w:r>
      <w:r>
        <w:rPr>
          <w:rFonts w:ascii="Times New Roman;serif" w:hAnsi="Times New Roman;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Operating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 consists primarily of personnel costs, including salaries, sales commission and benefits, bonuses and stock</w:t>
        <w:noBreakHyphen/>
        <w:t>based compensation. These expenses also include costs related to marketing programs, travel</w:t>
        <w:noBreakHyphen/>
        <w:t>related expenses and allocated overhead. Marketing programs consist of advertising, events, corporate communications, and brand</w:t>
        <w:noBreakHyphen/>
        <w:t>building and developer</w:t>
        <w:noBreakHyphen/>
        <w:t>community activities. We expect our sales and marketing expense to increase in absolute dollars over time as we expand our sales force and increase our marketing resources, expand into new markets and further develop our self-serve and partner channels.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 consists primarily of personnel costs, including salaries, bonuses and benefits, and stock</w:t>
        <w:noBreakHyphen/>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 consists primarily of personnel costs, including salaries, bonuses and benefits, and stock</w:t>
        <w:noBreakHyphen/>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w:t>
      </w:r>
    </w:p>
    <w:p>
      <w:pPr>
        <w:pStyle w:val="TextBody"/>
        <w:bidi w:val="0"/>
        <w:spacing w:lineRule="auto" w:line="288" w:before="0" w:after="18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income, interest expense, gains and losses on financial instruments, net and gains and losses from foreign currency transactions.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Provision for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state income taxes in the United States and income taxes in certain foreign jurisdictions in which we conduct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and Ireland net deferred tax assets, as it is more likely than not that some or all of the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U.S. dollars (unaudited, in thousands) and as a percentage of our total revenue. Percentage of revenue figures are rounded and therefore may not subtotal exactly.</w:t>
      </w:r>
    </w:p>
    <w:tbl>
      <w:tblPr>
        <w:tblW w:w="9735" w:type="dxa"/>
        <w:jc w:val="left"/>
        <w:tblInd w:w="0" w:type="dxa"/>
        <w:tblLayout w:type="fixed"/>
        <w:tblCellMar>
          <w:top w:w="28" w:type="dxa"/>
          <w:left w:w="28" w:type="dxa"/>
          <w:bottom w:w="28" w:type="dxa"/>
          <w:right w:w="28" w:type="dxa"/>
        </w:tblCellMar>
      </w:tblPr>
      <w:tblGrid>
        <w:gridCol w:w="1413"/>
        <w:gridCol w:w="1242"/>
        <w:gridCol w:w="124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0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Subscription</w:t>
            </w:r>
            <w:r>
              <w:rPr>
                <w:rFonts w:ascii="Times New Roman;serif" w:hAnsi="Times New Roman;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Services</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income taxes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w:t>
        <w:noBreakHyphen/>
        <w:t>based compensation expense as follows (unaudited, in thousands):</w:t>
      </w:r>
    </w:p>
    <w:tbl>
      <w:tblPr>
        <w:tblW w:w="8175" w:type="dxa"/>
        <w:jc w:val="left"/>
        <w:tblInd w:w="0" w:type="dxa"/>
        <w:tblLayout w:type="fixed"/>
        <w:tblCellMar>
          <w:top w:w="28" w:type="dxa"/>
          <w:left w:w="28" w:type="dxa"/>
          <w:bottom w:w="28" w:type="dxa"/>
          <w:right w:w="28" w:type="dxa"/>
        </w:tblCellMar>
      </w:tblPr>
      <w:tblGrid>
        <w:gridCol w:w="1081"/>
        <w:gridCol w:w="950"/>
        <w:gridCol w:w="95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revenue—subscription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Cost of revenue—services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Research 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16"/>
              </w:rPr>
            </w:pPr>
            <w:r>
              <w:rPr>
                <w:rFonts w:ascii="Times New Roman;serif" w:hAnsi="Times New Roman;serif"/>
                <w:b w:val="false"/>
                <w:color w:val="000000"/>
                <w:sz w:val="16"/>
              </w:rPr>
              <w:t>Total stock</w:t>
              <w:noBreakHyphen/>
              <w:t xml:space="preserve">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tbl>
      <w:tblPr>
        <w:tblW w:w="8386" w:type="dxa"/>
        <w:jc w:val="left"/>
        <w:tblInd w:w="0" w:type="dxa"/>
        <w:tblLayout w:type="fixed"/>
        <w:tblCellMar>
          <w:top w:w="28" w:type="dxa"/>
          <w:left w:w="28" w:type="dxa"/>
          <w:bottom w:w="28" w:type="dxa"/>
          <w:right w:w="28" w:type="dxa"/>
        </w:tblCellMar>
      </w:tblPr>
      <w:tblGrid>
        <w:gridCol w:w="1194"/>
        <w:gridCol w:w="1049"/>
        <w:gridCol w:w="1056"/>
        <w:gridCol w:w="240"/>
        <w:gridCol w:w="226"/>
        <w:gridCol w:w="464"/>
        <w:gridCol w:w="186"/>
        <w:gridCol w:w="186"/>
        <w:gridCol w:w="186"/>
        <w:gridCol w:w="240"/>
        <w:gridCol w:w="226"/>
        <w:gridCol w:w="464"/>
        <w:gridCol w:w="109"/>
        <w:gridCol w:w="109"/>
        <w:gridCol w:w="109"/>
        <w:gridCol w:w="232"/>
        <w:gridCol w:w="234"/>
        <w:gridCol w:w="418"/>
        <w:gridCol w:w="168"/>
        <w:gridCol w:w="168"/>
        <w:gridCol w:w="168"/>
        <w:gridCol w:w="232"/>
        <w:gridCol w:w="234"/>
        <w:gridCol w:w="488"/>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Percentage of Revenue Data:</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provision for income taxes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July 31, 2025 and 2024</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7330" w:type="dxa"/>
        <w:jc w:val="left"/>
        <w:tblInd w:w="0" w:type="dxa"/>
        <w:tblLayout w:type="fixed"/>
        <w:tblCellMar>
          <w:top w:w="28" w:type="dxa"/>
          <w:left w:w="28" w:type="dxa"/>
          <w:bottom w:w="28" w:type="dxa"/>
          <w:right w:w="28" w:type="dxa"/>
        </w:tblCellMar>
      </w:tblPr>
      <w:tblGrid>
        <w:gridCol w:w="808"/>
        <w:gridCol w:w="711"/>
        <w:gridCol w:w="7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headcount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 growth reflects increased demand for our platform and related services. Subscription revenue increased by $108.6 million primarily due to an increase of $92.4 million from our Direct Sales Customers, inclusive of the impact from Direct Sales Customers who were self-serve customers of MongoDB Atlas in the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Revenue, Gross Profit and Gross Margin Percentage</w:t>
      </w:r>
    </w:p>
    <w:tbl>
      <w:tblPr>
        <w:tblW w:w="7789" w:type="dxa"/>
        <w:jc w:val="left"/>
        <w:tblInd w:w="0" w:type="dxa"/>
        <w:tblLayout w:type="fixed"/>
        <w:tblCellMar>
          <w:top w:w="28" w:type="dxa"/>
          <w:left w:w="28" w:type="dxa"/>
          <w:bottom w:w="28" w:type="dxa"/>
          <w:right w:w="28" w:type="dxa"/>
        </w:tblCellMar>
      </w:tblPr>
      <w:tblGrid>
        <w:gridCol w:w="895"/>
        <w:gridCol w:w="787"/>
        <w:gridCol w:w="79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subscription cost of revenue was primarily due to a $23.6 million increase in third</w:t>
        <w:noBreakHyphen/>
        <w:t>party cloud infrastructure costs, including costs associated with the growth of MongoDB Atlas, an increase of $4.8 million personnel costs and stock-based compensation and a $3.0 million increase in amortization costs primarily related to acquired intangible assets. The increase in services cost of revenue was primarily due to a $5.8 million increase in personnel costs and stock-based compensation and a $3.2 million increase in third-party consultant costs related to the delivery of consulting and training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gross margin decreased to 71%. Our subscription gross margin declined to 76% due to an increase in subscription revenue from MongoDB Atlas as a percentage of our total revenue. Services gross margin decreased due to the impact of higher third-party consultant and training costs, services personnel costs and stock-based compensation related to growth in headcount.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Sales and Marketing</w:t>
      </w:r>
    </w:p>
    <w:tbl>
      <w:tblPr>
        <w:tblW w:w="7225" w:type="dxa"/>
        <w:jc w:val="left"/>
        <w:tblInd w:w="0" w:type="dxa"/>
        <w:tblLayout w:type="fixed"/>
        <w:tblCellMar>
          <w:top w:w="28" w:type="dxa"/>
          <w:left w:w="28" w:type="dxa"/>
          <w:bottom w:w="28" w:type="dxa"/>
          <w:right w:w="28" w:type="dxa"/>
        </w:tblCellMar>
      </w:tblPr>
      <w:tblGrid>
        <w:gridCol w:w="808"/>
        <w:gridCol w:w="711"/>
        <w:gridCol w:w="71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was primarily driven by a $12.3 million increase in commissions, an $11.7 million increase in personnel costs and $4.5 million in restructuring costs, partially offset by a $4.8 million decrease in stock-based compensation and a $1.4 million decrease in costs associated with certain in-person events.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Research and Development</w:t>
      </w:r>
    </w:p>
    <w:tbl>
      <w:tblPr>
        <w:tblW w:w="7346" w:type="dxa"/>
        <w:jc w:val="left"/>
        <w:tblInd w:w="0" w:type="dxa"/>
        <w:tblLayout w:type="fixed"/>
        <w:tblCellMar>
          <w:top w:w="28" w:type="dxa"/>
          <w:left w:w="28" w:type="dxa"/>
          <w:bottom w:w="28" w:type="dxa"/>
          <w:right w:w="28" w:type="dxa"/>
        </w:tblCellMar>
      </w:tblPr>
      <w:tblGrid>
        <w:gridCol w:w="852"/>
        <w:gridCol w:w="749"/>
        <w:gridCol w:w="7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was primarily driven by a $30.1 million increase in personnel costs and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General and Administrative</w:t>
      </w:r>
    </w:p>
    <w:tbl>
      <w:tblPr>
        <w:tblW w:w="7031"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was due to higher costs to support the growth of our business. In particular, these higher costs were driven by a $4.6 million increase in personnel cost and a $4.0 million increase in software costs and professional services to support the growth of our business.</w:t>
      </w:r>
    </w:p>
    <w:p>
      <w:pPr>
        <w:pStyle w:val="TextBody"/>
        <w:bidi w:val="0"/>
        <w:spacing w:lineRule="auto" w:line="288" w:before="80" w:after="20"/>
        <w:ind w:left="0" w:right="0" w:hanging="135"/>
        <w:jc w:val="left"/>
        <w:rPr>
          <w:rFonts w:ascii="Times New Roman;serif" w:hAnsi="Times New Roman;serif"/>
          <w:b/>
          <w:color w:val="000000"/>
          <w:sz w:val="20"/>
        </w:rPr>
      </w:pPr>
      <w:r>
        <w:rPr>
          <w:rFonts w:ascii="Times New Roman;serif" w:hAnsi="Times New Roman;serif"/>
          <w:b/>
          <w:color w:val="000000"/>
          <w:sz w:val="20"/>
        </w:rPr>
        <w:t>Other Income, Net</w:t>
      </w:r>
    </w:p>
    <w:tbl>
      <w:tblPr>
        <w:tblW w:w="6520" w:type="dxa"/>
        <w:jc w:val="left"/>
        <w:tblInd w:w="0" w:type="dxa"/>
        <w:tblLayout w:type="fixed"/>
        <w:tblCellMar>
          <w:top w:w="28" w:type="dxa"/>
          <w:left w:w="28" w:type="dxa"/>
          <w:bottom w:w="28" w:type="dxa"/>
          <w:right w:w="28" w:type="dxa"/>
        </w:tblCellMar>
      </w:tblPr>
      <w:tblGrid>
        <w:gridCol w:w="705"/>
        <w:gridCol w:w="620"/>
        <w:gridCol w:w="62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July 31, 2025 increased primarily due to higher interest income from our short-term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6461" w:type="dxa"/>
        <w:jc w:val="left"/>
        <w:tblInd w:w="0" w:type="dxa"/>
        <w:tblLayout w:type="fixed"/>
        <w:tblCellMar>
          <w:top w:w="28" w:type="dxa"/>
          <w:left w:w="28" w:type="dxa"/>
          <w:bottom w:w="28" w:type="dxa"/>
          <w:right w:w="28" w:type="dxa"/>
        </w:tblCellMar>
      </w:tblPr>
      <w:tblGrid>
        <w:gridCol w:w="841"/>
        <w:gridCol w:w="739"/>
        <w:gridCol w:w="744"/>
        <w:gridCol w:w="214"/>
        <w:gridCol w:w="626"/>
        <w:gridCol w:w="110"/>
        <w:gridCol w:w="110"/>
        <w:gridCol w:w="110"/>
        <w:gridCol w:w="110"/>
        <w:gridCol w:w="214"/>
        <w:gridCol w:w="626"/>
        <w:gridCol w:w="110"/>
        <w:gridCol w:w="109"/>
        <w:gridCol w:w="109"/>
        <w:gridCol w:w="109"/>
        <w:gridCol w:w="211"/>
        <w:gridCol w:w="361"/>
        <w:gridCol w:w="109"/>
        <w:gridCol w:w="109"/>
        <w:gridCol w:w="109"/>
        <w:gridCol w:w="109"/>
        <w:gridCol w:w="128"/>
        <w:gridCol w:w="12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in thousands)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remained flat for the three months ended July 31, 2025.</w:t>
      </w:r>
    </w:p>
    <w:p>
      <w:pPr>
        <w:pStyle w:val="TextBody"/>
        <w:bidi w:val="0"/>
        <w:spacing w:before="80" w:after="18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Comparison of the Six Months Ended July 31, 2025 and 2024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7735" w:type="dxa"/>
        <w:jc w:val="left"/>
        <w:tblInd w:w="0" w:type="dxa"/>
        <w:tblLayout w:type="fixed"/>
        <w:tblCellMar>
          <w:top w:w="28" w:type="dxa"/>
          <w:left w:w="28" w:type="dxa"/>
          <w:bottom w:w="28" w:type="dxa"/>
          <w:right w:w="28" w:type="dxa"/>
        </w:tblCellMar>
      </w:tblPr>
      <w:tblGrid>
        <w:gridCol w:w="900"/>
        <w:gridCol w:w="792"/>
        <w:gridCol w:w="79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headcount </w:t>
            </w:r>
          </w:p>
        </w:tc>
        <w:tc>
          <w:tcPr>
            <w:tcW w:w="12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 growth reflects increased demand for our platform and related services. Subscription revenue increased by $203.1 million primarily due to an increase of $171.6 million from our Direct Sales Customers, inclusive of the impact from Direct Sales Customers who were self-serve customers of MongoDB Atlas in the prior-year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 of Revenue, Gross Profit and Gross Margin Percentage</w:t>
      </w:r>
    </w:p>
    <w:tbl>
      <w:tblPr>
        <w:tblW w:w="7909" w:type="dxa"/>
        <w:jc w:val="left"/>
        <w:tblInd w:w="0" w:type="dxa"/>
        <w:tblLayout w:type="fixed"/>
        <w:tblCellMar>
          <w:top w:w="28" w:type="dxa"/>
          <w:left w:w="28" w:type="dxa"/>
          <w:bottom w:w="28" w:type="dxa"/>
          <w:right w:w="28" w:type="dxa"/>
        </w:tblCellMar>
      </w:tblPr>
      <w:tblGrid>
        <w:gridCol w:w="900"/>
        <w:gridCol w:w="792"/>
        <w:gridCol w:w="797"/>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subscription cost of revenue was primarily due to a $43.8 million increase in third</w:t>
        <w:noBreakHyphen/>
        <w:t>party cloud infrastructure costs, including costs associated with the growth of MongoDB Atlas, and increase of $10.2 million personnel costs and stock-based compensation and $6.6 million increase in amortization costs primarily related to acquired intangible assets. The increase in third</w:t>
        <w:noBreakHyphen/>
        <w:t>party cloud infrastructure costs was partially offset by continued cost efficiencies realized as we scale MongoDB Atlas. The increase in services cost of revenue was primarily due to a $9.5 million increase in personnel costs and stock-based compensation and a $5.4 million increase in third-party consultant costs related to the delivery of consulting and training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gross margin decreased to 71%. Our subscription gross margin declined to 76% due to an increase in subscription revenue from MongoDB Atlas as a percentage of our total revenue. Services gross margin declined due to the impact of higher third-party consultant and training costs, services personnel costs and stock-based compensation related to growth in headcount.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Sales and Marketing</w:t>
      </w:r>
    </w:p>
    <w:tbl>
      <w:tblPr>
        <w:tblW w:w="7375"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 was primarily driven by a $19.8 million increase in commissions, an $18.8 million increase in personnel costs and $4.5 million in restructuring costs, partially offset by a $15.3 million decrease in costs associated with certain in-person events and a $5.3 million decrease in stock-based compensation.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Research and Development</w:t>
      </w:r>
    </w:p>
    <w:tbl>
      <w:tblPr>
        <w:tblW w:w="7480"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 was primarily driven by a $53.6 million increase in personnel costs and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General and Administrative</w:t>
      </w:r>
    </w:p>
    <w:tbl>
      <w:tblPr>
        <w:tblW w:w="7270" w:type="dxa"/>
        <w:jc w:val="left"/>
        <w:tblInd w:w="0" w:type="dxa"/>
        <w:tblLayout w:type="fixed"/>
        <w:tblCellMar>
          <w:top w:w="28" w:type="dxa"/>
          <w:left w:w="28" w:type="dxa"/>
          <w:bottom w:w="28" w:type="dxa"/>
          <w:right w:w="28" w:type="dxa"/>
        </w:tblCellMar>
      </w:tblPr>
      <w:tblGrid>
        <w:gridCol w:w="900"/>
        <w:gridCol w:w="792"/>
        <w:gridCol w:w="797"/>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Headcount (at period end)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 was primarily driven by a $7.5 million increase in personnel costs, a $3.2 million increase in professional services and a $2.7 million increase in software subscription costs, which was partially offset by a $11.2 million of reserve release and reduction of expense related to value-added tax expense for our operations in certain non-US jurisdictions.</w:t>
      </w:r>
    </w:p>
    <w:p>
      <w:pPr>
        <w:pStyle w:val="TextBody"/>
        <w:bidi w:val="0"/>
        <w:spacing w:lineRule="auto" w:line="288" w:before="80" w:after="20"/>
        <w:ind w:left="0" w:right="0" w:hanging="135"/>
        <w:jc w:val="left"/>
        <w:rPr>
          <w:rFonts w:ascii="Times New Roman;serif" w:hAnsi="Times New Roman;serif"/>
          <w:b/>
          <w:color w:val="000000"/>
          <w:sz w:val="20"/>
        </w:rPr>
      </w:pPr>
      <w:r>
        <w:rPr>
          <w:rFonts w:ascii="Times New Roman;serif" w:hAnsi="Times New Roman;serif"/>
          <w:b/>
          <w:color w:val="000000"/>
          <w:sz w:val="20"/>
        </w:rPr>
        <w:t>Other Income, Net</w:t>
      </w:r>
    </w:p>
    <w:tbl>
      <w:tblPr>
        <w:tblW w:w="7060" w:type="dxa"/>
        <w:jc w:val="left"/>
        <w:tblInd w:w="0" w:type="dxa"/>
        <w:tblLayout w:type="fixed"/>
        <w:tblCellMar>
          <w:top w:w="28" w:type="dxa"/>
          <w:left w:w="28" w:type="dxa"/>
          <w:bottom w:w="28" w:type="dxa"/>
          <w:right w:w="28" w:type="dxa"/>
        </w:tblCellMar>
      </w:tblPr>
      <w:tblGrid>
        <w:gridCol w:w="900"/>
        <w:gridCol w:w="792"/>
        <w:gridCol w:w="79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July 31, 2025 improved primarily due to higher interest income from our short-term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Provision for Income Taxes</w:t>
      </w:r>
    </w:p>
    <w:tbl>
      <w:tblPr>
        <w:tblW w:w="6955" w:type="dxa"/>
        <w:jc w:val="left"/>
        <w:tblInd w:w="0" w:type="dxa"/>
        <w:tblLayout w:type="fixed"/>
        <w:tblCellMar>
          <w:top w:w="28" w:type="dxa"/>
          <w:left w:w="28" w:type="dxa"/>
          <w:bottom w:w="28" w:type="dxa"/>
          <w:right w:w="28" w:type="dxa"/>
        </w:tblCellMar>
      </w:tblPr>
      <w:tblGrid>
        <w:gridCol w:w="900"/>
        <w:gridCol w:w="792"/>
        <w:gridCol w:w="79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(unaudited, 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during the six months ended July 31, 2025 and 2024, was primarily due to an increase in foreign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2025,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In June 2025, the Company’s Board of Directors authorized an additional $800.0 million in repurchases under the Share Repurchase Program, bringing the aggregate authorized repurchase amount to $1.0 billion. During the six months ended July 31, 2025, the Company repurchased 929,674 shares of common stock for $200.0 million, of which, $5.6 million is included in other accrued liabilities on the Company’s condensed consolidated balance sheet as of July 31, 2025, at an average price per share of $215.86. Refer to Note 10, </w:t>
      </w:r>
      <w:r>
        <w:rPr>
          <w:rFonts w:ascii="Times New Roman;serif" w:hAnsi="Times New Roman;serif"/>
          <w:b w:val="false"/>
          <w:i/>
          <w:color w:val="000000"/>
          <w:sz w:val="20"/>
        </w:rPr>
        <w:t>Equity</w:t>
      </w:r>
      <w:r>
        <w:rPr>
          <w:rFonts w:ascii="Times New Roman;serif" w:hAnsi="Times New Roman;serif"/>
          <w:b w:val="false"/>
          <w:color w:val="000000"/>
          <w:sz w:val="20"/>
        </w:rPr>
        <w:t>, in our Notes to Unaudited Condensed Consolidated Financial Statements included in Part I, Item 1, and “</w:t>
      </w:r>
      <w:r>
        <w:rPr>
          <w:rFonts w:ascii="Times New Roman;serif" w:hAnsi="Times New Roman;serif"/>
          <w:b w:val="false"/>
          <w:i/>
          <w:color w:val="000000"/>
          <w:sz w:val="20"/>
        </w:rPr>
        <w:t xml:space="preserve">Purchases of Equity Securities by the Issuer” </w:t>
      </w:r>
      <w:r>
        <w:rPr>
          <w:rFonts w:ascii="Times New Roman;serif" w:hAnsi="Times New Roman;serif"/>
          <w:b w:val="false"/>
          <w:color w:val="000000"/>
          <w:sz w:val="20"/>
        </w:rPr>
        <w:t>included in Part II, Item 5 of this Quarterly Report on Form 10-Q for further details.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operating losses as reflected in our accumulated deficit of $1.9 billion as of July 31, 2025. While we generated positive cash flows from operations in recent years, we have generated negative cash flows from operations in the past as reflected in our historical consolidated statements of cash flows. We expect to continue to incur 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(unaudited, in thousands):</w:t>
      </w:r>
    </w:p>
    <w:tbl>
      <w:tblPr>
        <w:tblW w:w="6819" w:type="dxa"/>
        <w:jc w:val="left"/>
        <w:tblInd w:w="0" w:type="dxa"/>
        <w:tblLayout w:type="fixed"/>
        <w:tblCellMar>
          <w:top w:w="28" w:type="dxa"/>
          <w:left w:w="28" w:type="dxa"/>
          <w:bottom w:w="28" w:type="dxa"/>
          <w:right w:w="28" w:type="dxa"/>
        </w:tblCellMar>
      </w:tblPr>
      <w:tblGrid>
        <w:gridCol w:w="1541"/>
        <w:gridCol w:w="1357"/>
        <w:gridCol w:w="1362"/>
        <w:gridCol w:w="211"/>
        <w:gridCol w:w="826"/>
        <w:gridCol w:w="109"/>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financing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Operating Activities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six months ended July 31, 2025 was $182.0 million, driven primarily by an increase in our cash collections reflecting the overall growth of our sales and expansion of our customer base. Accordingly, our accounts receivable decreased by $41.8 million. In addition, our net loss of $84.7 million, includes non</w:t>
        <w:noBreakHyphen/>
        <w:t>cash charges of $272.8 million for stock</w:t>
        <w:noBreakHyphen/>
        <w:t xml:space="preserve">based compensation, $11.0 million for depreciation and amortization and deferred commissions of $14.5 million. Partially offsetting these benefits to our operating cash flow were a decrease in deferred revenue of $49.5 million, an increase in other long-term assets of $11.1 million, and a decrease in other net non-cash charges of $12.8 million.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six months ended July 31, 2024 was $62.2 million, driven primarily by an increase in our cash collections reflecting overall growth of our sales and expansion of our customer base. Accordingly, our accounts receivable decreased by $13.3 million. In addition, our net loss of $135.1 million, includes non</w:t>
        <w:noBreakHyphen/>
        <w:t>cash charges of $243.2 million for stock</w:t>
        <w:noBreakHyphen/>
        <w:t>based compensation and $7.2 million for depreciation and amortization. Our accrued liabilities increased by $29.2 million reflecting our increase in expenses and timing of payments. Partially offsetting these benefits to our operating cash flow were a decrease in deferred revenue of $54.3 million, amortization of premium and accretion of discount on short-term investments, net of $13.5 million, an increase in deferred commissions of $20.0 million and other net non-cash charges of $7.8 million.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Investing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during the six months ended July 31, 2025 was $141.2 million, due to proceeds from maturities of marketable securities, net of purchases, of $153.7 million, partially offset by, cash used for investments in non-marketable securities of $8.3 million, purchases of property and equipment of $2.1 million and payments related to a business combination, net of cash acquired of $2.0 million.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during the six months ended July 31, 2024 was $242.3 million, due to purchases of marketable securities, net of maturities, of $249.4 million, cash used for investments in non-marketable securities of $5.5 million and purchases of property and equipment of $1.6 million.</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Financing Activities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during the six months ended July 31, 2025 was $173.8 million, due to repurchases of common stock of $194.4 million and principal payments of finance leases of $4.1 million, offset by proceeds from the issuance of common stock under the Employee Stock Purchase Plan of $22.9 million and proceeds from the exercises of stock options of $1.8 million.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six months ended July 31, 2024 was $186.9 million, due to proceeds from the settlement of capped calls of $170.6 million, proceeds from the issuance of common stock under the Employee Stock Purchase Plan and exercises of stock options of $19.9 million, partly offset by principal payments of finance leases of $3.6 million.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inclusive of seasonal variability. As MongoDB Atlas revenue continues to increase as a percentage of total revenue, these fluctuations may have a greater impact on our results of operations.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During the six months ended July 31, 2025, there were no material changes outside the ordinary course of business to our contractual obligations and commitments from those disclosed in our 2025 Form 10-K. Refer to Note 7,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our Notes to Unaudited Condensed Consolidated Financial Statements included in Part I, Item 1 of this Quarterly Report on Form 10-Q for further details.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exception of Business Combinations, as described below, there have been no other changes in our critical accounting estimates from those disclosed in Part II, Item 7, “Management’s Discussion and Analysis of Financial Condition and Results of Operations” of the 2025 Form 10-K.</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Estimates used in valuing certain intangible assets include, but are not limited to, time and resources required to recreate the assets acquired. These estimates are based on information obtained from the management of the acquired companies, the Company’s assessment of the information, and historical experience. The Company’s estimates of fair value are based upon assumptions believed to be reasonable, but which are inherently uncertain and unpredictable and, as a result, actual results may differ from estimates. During the measurement period, the Company may record adjustments to the preliminary fair value of the assets acquired and liabilities assumed. After the measurement period, any subsequent adjustments are reflected in the consolidated statements of operations and comprehensive income (loss). Acquisition costs are expensed as incurred.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Refer to Note </w:t>
      </w:r>
      <w:r>
        <w:rPr>
          <w:rFonts w:ascii="Times New Roman;serif" w:hAnsi="Times New Roman;serif"/>
          <w:b w:val="false"/>
          <w:i/>
          <w:color w:val="000000"/>
          <w:sz w:val="20"/>
        </w:rPr>
        <w:t>2, Summary of Significant Accounting Policies</w:t>
      </w:r>
      <w:r>
        <w:rPr>
          <w:rFonts w:ascii="Times New Roman;serif" w:hAnsi="Times New Roman;serif"/>
          <w:b w:val="false"/>
          <w:color w:val="000000"/>
          <w:sz w:val="20"/>
        </w:rPr>
        <w:t>, in our Notes to Unaudited Condensed Consolidated Financial Statements included in Part I, Item 1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Interest Rate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bank deposits and money market funds, and our short-term investments consist of U.S. government treasury securities. As of July 31, 2025,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July 31, 2025.</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Foreign Currency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three months ended July 31, 2025 and 2024.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erif" w:hAnsi="Times New Roman;serif"/>
          <w:b w:val="false"/>
          <w:i/>
          <w:color w:val="2C2C2C"/>
          <w:sz w:val="20"/>
        </w:rPr>
      </w:pPr>
      <w:r>
        <w:rPr>
          <w:rFonts w:ascii="Times New Roman;serif" w:hAnsi="Times New Roman;serif"/>
          <w:b w:val="false"/>
          <w:i/>
          <w:color w:val="2C2C2C"/>
          <w:sz w:val="20"/>
        </w:rPr>
        <w:t>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July 31, 2025 and January 31, 2025, the total amount of non-marketable securities included in other assets on our balance sheets was $32.2 million and $24.2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4. CONTROLS AND PROCEDURES.</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erif" w:hAnsi="Times New Roman;serif"/>
          <w:b w:val="false"/>
          <w:color w:val="000000"/>
          <w:sz w:val="20"/>
        </w:rPr>
        <w:t>July 31, 2025</w:t>
      </w:r>
      <w:r>
        <w:rPr>
          <w:rFonts w:ascii="Times New Roman;serif" w:hAnsi="Times New Roman;serif"/>
          <w:b w:val="false"/>
          <w:color w:val="000000"/>
          <w:sz w:val="20"/>
          <w:shd w:fill="FFFFFF" w:val="clear"/>
        </w:rPr>
        <w:t xml:space="preserve">. Based on the evaluation of our disclosure controls and procedures as of </w:t>
      </w:r>
      <w:r>
        <w:rPr>
          <w:rFonts w:ascii="Times New Roman;serif" w:hAnsi="Times New Roman;serif"/>
          <w:b w:val="false"/>
          <w:color w:val="000000"/>
          <w:sz w:val="20"/>
        </w:rPr>
        <w:t>July 31, 2025</w:t>
      </w:r>
      <w:r>
        <w:rPr>
          <w:rFonts w:ascii="Times New Roman;serif" w:hAnsi="Times New Roman;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erif" w:hAnsi="Times New Roman;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w:t>
      </w:r>
      <w:r>
        <w:rPr>
          <w:rFonts w:ascii="Times New Roman;serif" w:hAnsi="Times New Roman;serif"/>
          <w:b w:val="false"/>
          <w:color w:val="000000"/>
          <w:sz w:val="20"/>
        </w:rPr>
        <w:t>three months ended July 31, 2025</w:t>
      </w:r>
      <w:r>
        <w:rPr>
          <w:color w:val="000000"/>
          <w:shd w:fill="FFFFFF" w:val="clear"/>
        </w:rPr>
        <w:t xml:space="preserve"> </w:t>
      </w:r>
      <w:r>
        <w:rPr>
          <w:rFonts w:ascii="Times New Roman;serif" w:hAnsi="Times New Roman;serif"/>
          <w:b w:val="false"/>
          <w:color w:val="000000"/>
          <w:sz w:val="20"/>
          <w:shd w:fill="FFFFFF" w:val="clear"/>
        </w:rPr>
        <w:t>that has materially affected, or is reasonably likely to materially affect, our internal control over financial reporting.</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180" w:after="180"/>
        <w:ind w:left="0" w:right="0" w:firstLine="540"/>
        <w:jc w:val="center"/>
        <w:rPr>
          <w:rFonts w:ascii="Times New Roman;serif" w:hAnsi="Times New Roman;serif"/>
          <w:b/>
          <w:color w:val="000000"/>
          <w:sz w:val="24"/>
        </w:rPr>
      </w:pPr>
      <w:r>
        <w:rPr>
          <w:rFonts w:ascii="Times New Roman;serif" w:hAnsi="Times New Roman;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1. LEGAL PROCEEDINGS.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information required to be set forth under this Item 1 is incorporated by reference to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of the Notes to Condensed Consolidated Financial Statements included in this Form 10-Q.</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9, 2024, a putative class action lawsuit, captioned Baxter v. MongoDB, Inc., et al., was filed in the United States District Court for the Southern District of New York against MongoDB, CEO Dev Ittycheria, and former COO and CFO Michael Gordon. On January 27, 2025, the lead plaintiff in the lawsuit (the “Securities Action”) filed an Amended Complaint naming former Senior Vice President of Finance and former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Defendants filed a motion to dismiss the complaint on May 9, 2025. Plaintiffs filed an opposition brief on July 1, 2025, and defendants filed their reply brief on July 29, 2025. The Court has not yet ruled on Defendants’ motion. The Company is unable to estimate any reasonably possible loss, or range of loss, with respect to these matters at this time. The Company intends to vigorously defend itself in this matter.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7, 2024, a purported shareholder derivative lawsuit was filed in the U.S. District Court for the Southern District of New York , Case. No. 1:24-cv-07594, against the Company, as nominal defendant, and CEO Dev Ittycheria, former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Roy action with the caption In re MongoDB, Inc. Shareholder Litigation (the “Derivative Litigation”). The Derivative Litigation is at an early stage and has been stayed, pending the outcome of the Court's decision on the defendants' motion to dismiss the Securities Action.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subject to other legal proceedings and claims in the ordinary course of business.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ITEM 1A. RISK FACTORS.</w:t>
      </w:r>
    </w:p>
    <w:p>
      <w:pPr>
        <w:pStyle w:val="TextBody"/>
        <w:bidi w:val="0"/>
        <w:spacing w:lineRule="auto" w:line="288" w:before="0" w:after="18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business and results of operations depend substantially on our customers renewing their subscriptions with us and expanding their usage of software and related services. Any decline in our customer renewals or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limited operating history, which makes it difficult to predict our future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currently face significant competition and expect that intense competition will continue.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decision to offer Community Server under the Server Side Public License (“SSPL”) may harm the adoption of Community Server.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licensing model for Community Server could negatively affect our ability to monetize and protect our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not able to maintain and enhance our brand, especially among developers, our business and results of operations may be adversely affected.</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changes in trade policies, such as trade wars, tariffs or other trade restrictions or the threat of such actions, international trade relations,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 Geopolitical risks, including those arising from trade tension and/or the imposition of trade tariffs, terrorist activity or acts of civil or international hostility, are increasing. In particular, there is currently significant uncertainty about trade policies, treaties, tariffs and taxes, which may lead to continuing volatility in U.S. and global financial and economic conditions and commodity markets, declining consumer confidence, significant inflation and diminished expectations for the economy, and which may ultimately lead to reduced usage or demand for our products.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makes it difficult to predict our future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in each period since our inception, including net losses of $129.1 million, $176.6 million and $345.4 million for the fiscal years ended January 31, 2025, 2024 and 2023, respectively. We had an accumulated deficit of $1.8 billion as of January 31, 2025.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six months ended July 31, 2025.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subscription offerings are term-based and a majority of our subscription contracts are one year in duration.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erif" w:hAnsi="Times New Roman;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adoption strategies include offering Community Server and a free tier of MongoDB Atlas and we may not be able to realize the intended benefits of these strategies.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could be negatively impacted if the AGPL, the SSPL and other open source licenses under which some of our software is licensed are not enforceable.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risks could be difficult to eliminate or manage and if not addressed, could have a negative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(“ML”),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quarterly results may fluctuate significantly and if we fail to meet the expectations of analysts or investors, our stock price could decline substantially.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actual and anticipated growth rates of our revenue, customers and other key operating metrics;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 product announcements, pricing changes and other actions by competitors;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timely and effectively expand our sales and marketing capabilities and teams;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retain customers and expand their usage of our software, particularly for our largest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enforce the AGPL or SSPL;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of revenue recognition;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mix of revenue attributable to larger transactions as opposed to smaller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customers’ budgets and in the timing of their budgeting cycles and purchasing decisions;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customers’ consumption of our platform;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security breaches or other security incidents, technical difficulties, or interruptions with respect to the delivery and use of our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maintain the level of service uptime and performance required by our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political and economic conditions, in domestic or international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new accounting pronouncements;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stock-based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six months ended July 31, 2025.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II, Item 1 of this Quarterly Report on Form 10-Q.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rapid growth in our business, operations and employee headcount. For fiscal years 2025, 2024 and 2023, our total revenue was $2,006.4 million, $1,683.0 million, and $1,284.0 million, respectively, representing a 19% and 31% growth rate, respectively. We have also significantly increased the size of our customer base from over 3,200 customers as of January 31, 2017 to over 54,500 customers as of January 31, 2025, and we grew from 713 employees as of January 31, 2017 to 5,558 employees as of January 31, 2025.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previously have, and may in the future,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sales cycle may be long and is unpredictable and our sales efforts require considerable time and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sales force, in particular new sales people as we increase the size of our sales force;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discretionary nature of purchasing and budget cycles and decisions;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obstacles placed by a customer’s procurement process;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convert users of our free offerings to paying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economic conditions and other factors impacting customer budgets;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 evaluation of competing products during the purchasing process;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evolving customer demands.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do attract new customers, the cost of new customer acquisition, product implementation and ongoing customer support may prove so high as to prevent us from achieving or sustaining profitability. For example, in fiscal years 2025, 2024 and 2023, total sales and marketing expense represented 43% , 47%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from time to time, U.S. presidential administrations have issued, and may in the future issue, Executive Orders related to cybersecurity practices that may affect our business. For example,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EU Member States have flexibility in identifying the types of entities considered “essential.” The deadline for EU Member States to transpose NIS2 into national law was October 17, 2024. However, only a small number of Member States have met that deadline, creating ongoing uncertainty around how NIS2 will impact our business.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December 2025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upon our intellectual property rights. As of January 31, 2025, we had 84 issued patents and 47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which could adversely impact our corporate culture. In addition, we may need to adapt our corporate culture and work environments to changing circumstances, such as during times of a natural disaster or pandemic.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internationally and we are susceptible to risks related to our international operations. In the fiscal years ended January 31, 2025, 2024 and 2023, total revenue generated from customers outside the United States was 46%, 46% and 45%,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need to adapt and localize our products for specific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greater difficulty collecting accounts receivable and longer payment cycles;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unexpected changes in laws, regulatory requirements, taxes or trade laws;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 of other economic factors, including inflation, pricing and currency devaluation;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laws and business practices favoring local competitors or general preferences for local vendors;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limited or insufficient intellectual property protection or difficulties enforcing our 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tax burdens and foreign exchange controls that could make it difficult to repatriate earnings and cash.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may lead to continuing volatility in U.S. and global financial and economic conditions and commodity markets, declining consumer confidence, significant inflation and diminished expectations for the economy, and may ultimately result in lower demand for our offerings,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use of hedging instruments may introduce additional risks if we are unable to structure effective hedges with such instruments.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realize anticipated synergies;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use of cash to pay for acquisitions or strategic investment would limit other potential uses for our cash;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incur debt to fund any acquisitions, such debt may subject us to material restrictions on our ability to conduct our business, including financial maintenance covenants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issue a significant amount of equity securities in connection with future acquisitions, existing stockholders may be diluted and earnings per share may decrease;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risks could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the immediate expensing of United States research and development expenditures. The legislation has multiple effective dates, with certain provisions effective in the current fiscal period and others in the fiscal year ended January 31, 2027. We have completed a preliminary assessment of the related tax impact on our condensed consolidated financial statements. Given the ongoing tax losses and full valuation allowance against our domestic deferred tax assets, we do not expect any material impacts from the provisions effective in the fiscal year ended January 31, 2026 on our consolidated financial statements.</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31, 2025,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2025,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erif" w:hAnsi="Times New Roman;serif"/>
          <w:b/>
          <w:i/>
          <w:color w:val="000000"/>
          <w:sz w:val="20"/>
        </w:rPr>
        <w:t>We are subject to risks related to our environmental, social, and governance activities and disclosures</w:t>
      </w:r>
      <w:r>
        <w:rPr>
          <w:rFonts w:ascii="Times New Roman;serif" w:hAnsi="Times New Roman;serif"/>
          <w:b w:val="false"/>
          <w:color w:val="000000"/>
          <w:sz w:val="20"/>
        </w:rPr>
        <w: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Social, ethical, security and regulatory issues relating to the use of new and evolving technologies, such as AI and ML, in our offerings or partnerships may result in reputational harm and liability.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Social, ethical, security and regulatory issues relating to the use of new and evolving technologies such as AI and ML, including generative AI and AI models, in our offerings, internal operations or partnerships, may result in reputational harm and liability, and may cause us to incur additional research and development costs to resolve such issues. As with many innovations, AI and ML presents risks and challenges that could affect its adoption, and therefore our business.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enable or offer solutions that draw controversy due to their perceived or actual impact on society or if the content, analyses or recommendations that AI and ML-powered solutions assist in producing in our products and services are, or are perceived to be, deficient, inaccurate, biased, unethical or otherwise flawed, we may experience brand or reputational harm, competitive harm or legal liability. Potential government regulation related to AI and ML use and ethics may also increase the burden and cost of research and development in this area, and failure to properly remediate AI and ML usage or ethics issues may cause public confidence in AI and ML to be undermined. The rapid evolution of AI and ML will require the application of resources to develop, test and maintain any potential offerings or partnerships to help ensure that AI and ML are implemented ethically in order to minimize unintended, harmful impact.</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use of AI and ML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and ML also make it cheaper for attackers to create malware, phishing, code reviews, or other tools at a high volume. AI and ML may change the way our industry identifies and responds to cybersecurity threats, and businesses that are slow to adopt or fail to adopt such new technologies may face a competitive disadvantage.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regulatory framework for AI, ML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ML or related technologies, our financial condition and our results of operations, including as a result of the cost to comply with such laws or regulations.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 or ML-generated works and the potential for security flaws in output code.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and ML-powered software, will depend on our implementation, maintenance, monitoring and enforcement of appropriate technical and administrative safeguards, policies and procedures governing the use of AI and ML in our business.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security breaches or other security incidents that implicate the personal data of users of AI-powered applications. If we experience security breaches or incidents in connection with our use of AI and ML, it could adversely affect our reputation and expose us to legal liability or regulatory risk.</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potential government regulation related to AI and ML use and ethics may also increase the burden and cost of research and development in this area, and failure to properly remediate AI and ML usage or ethics issues may cause public confidence in AI and ML to be undermined, which could slow adoption of AI and ML in our products and services. For example, the European Union’s Artificial Intelligence Act (the “EU AI Act”) entered into force on August 1, 2024, with the first set of provisions thereunder becoming effective on February 2, 2025.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general purpose, which we currently have, or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and ML technology itself is highly complex and rapidly developing, it is not possible to predict all of the legal, operational or technological risks that may arise relating to the use of AI and ML.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utilization of AI and ML becomes more prevalent, we anticipate that it will continue to present new or unanticipated ethical, reputational, technical, operational, legal, competitive and regulatory issues, among others. We expect that our incorporation of AI and ML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and ML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use of AI and ML technologies in our product offerings and internal operations may not produce the desired benefits, and may result in increased liability, reputational harm, or other adverse consequences.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utilizing and building AI and ML capabilities into our business, as well as incorporating AI and ML into our internal operations. We expect AI and ML solutions and features to help drive future growth in our business, but there can be no assurance that we will realize the desired or anticipated benefits from AI and ML.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fail to properly implement or market our AI and ML solutions and features. Our competitors or other third parties may incorporate AI and ML into their products, offerings, and solutions more quickly or more successfully than us, which could impair our ability to compete effectively and adversely affect our results of operations. Our ability to effectively implement and market our AI and ML solutions and features will depend, in part, on our ability to attract and retain employees with AI and ML expertise, and we expect significant competition for professionals with the skills and technical knowledge that we will require. </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Additionally, our offerings based on AI and ML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and ML solutions or features assist in producing are or are alleged to be deficient, insufficient, of poor quality, inaccurate, or biased, or if such content, recommendations, solutions or features</w:t>
      </w:r>
      <w:r>
        <w:rPr>
          <w:color w:val="000000"/>
        </w:rPr>
        <w:t xml:space="preserve"> </w:t>
      </w:r>
      <w:r>
        <w:rPr>
          <w:rFonts w:ascii="Times New Roman;serif" w:hAnsi="Times New Roman;serif"/>
          <w:b w:val="false"/>
          <w:color w:val="000000"/>
          <w:sz w:val="20"/>
        </w:rPr>
        <w:t xml:space="preserve">or their development or deployment (including the collection, use, or other processing of data used to train or create such AI and ML solutions or features) are found to have or alleged to have infringed upon or misappropriated third-party intellectual property rights or violate applicable laws, regulations, or other actual or asserted legal obligations to which we are or may become subject. Such risks and challenges could undermine public confidence in AI and ML, which could slow or even halt their adoption and negatively affect our business. The legal, regulatory, and policy environments around AI and ML are evolving rapidly, and we may become subject to new and evolving legal and other obligations. These and other developments may require us to make significant changes to our use of AI and ML, including by limiting or restricting our use of AI and ML, and which may require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make significant changes to our policies and practices, which may necessitate expenditure of significant time, expense, and other resources.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whether our results of operations meet the expectations of securities analysts or investors;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announcements of new products or technologies, commercial relationships, acquisitions or other events by us or our competitors;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how customers perceive the benefits of our product and future product offerings and releases;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large blocks of our common stock;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actual or future expectations of investors or securities analysts;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data breach or other security incident involving our software;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developments or changes in government trade policy in the United States, foreign countries or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major catastrophic events in our domestic and foreign markets;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6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additional executive management and qualified board members.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serif" w:hAnsi="Times New Roman;serif"/>
          <w:b w:val="false"/>
          <w:color w:val="212529"/>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There can be no assurance that we will repurchase shares of our common stock or that we will repurchase shares at favorable prices.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share repurchase program (the “Share Repurchase Program”) pursuant to which we are authorized to repurchase up to $1,000,000,000 of our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Repurchasing our common stock will reduce the amount of cash we have available to fund working capital, repayment of debt, capital expenditures, strategic acquisitions or business opportunities, and other general corporate purposes, and we may fail to realize the anticipated long-term stockholder value of our share repurchase programs.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 the past, we incurred significant amounts of debt and may in the future incur additional indebtedness. We may not have sufficient cash flow from our business to make payments on such debt when due.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capped call transactions may affect the value of our 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2026 Notes, all of which were redeemed in December 2024, we entered into privately negotiated capped call transactions with certain counterparties. The capped call transactions cover, subject to customary adjustments, the number of shares of our common stock initially underlying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expiration of the capped call transactions (and are likely to do so on each exercise date of the capped call transactions, which are scheduled to occur during a 40 day trading day period prior to expiration of the capped call transactions.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45"/>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312"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(a)Recent Sales of Unregistered Equity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(b)Use of Proceeds</w:t>
      </w:r>
    </w:p>
    <w:p>
      <w:pPr>
        <w:pStyle w:val="TextBody"/>
        <w:bidi w:val="0"/>
        <w:spacing w:lineRule="auto" w:line="288" w:before="0" w:after="18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hanging="540"/>
        <w:jc w:val="left"/>
        <w:rPr>
          <w:rFonts w:ascii="Times New Roman;serif" w:hAnsi="Times New Roman;serif"/>
          <w:b/>
          <w:color w:val="000000"/>
          <w:sz w:val="20"/>
        </w:rPr>
      </w:pPr>
      <w:r>
        <w:rPr>
          <w:rFonts w:ascii="Times New Roman;serif" w:hAnsi="Times New Roman;serif"/>
          <w:b/>
          <w:color w:val="000000"/>
          <w:sz w:val="20"/>
        </w:rPr>
        <w:t>(c)Issuer Purchases of Equity Securities</w:t>
      </w:r>
    </w:p>
    <w:tbl>
      <w:tblPr>
        <w:tblW w:w="10205" w:type="dxa"/>
        <w:jc w:val="left"/>
        <w:tblInd w:w="0" w:type="dxa"/>
        <w:tblLayout w:type="fixed"/>
        <w:tblCellMar>
          <w:top w:w="28" w:type="dxa"/>
          <w:left w:w="28" w:type="dxa"/>
          <w:bottom w:w="28" w:type="dxa"/>
          <w:right w:w="28" w:type="dxa"/>
        </w:tblCellMar>
      </w:tblPr>
      <w:tblGrid>
        <w:gridCol w:w="348"/>
        <w:gridCol w:w="306"/>
        <w:gridCol w:w="309"/>
        <w:gridCol w:w="109"/>
        <w:gridCol w:w="109"/>
        <w:gridCol w:w="109"/>
        <w:gridCol w:w="644"/>
        <w:gridCol w:w="456"/>
        <w:gridCol w:w="457"/>
        <w:gridCol w:w="109"/>
        <w:gridCol w:w="109"/>
        <w:gridCol w:w="109"/>
        <w:gridCol w:w="285"/>
        <w:gridCol w:w="977"/>
        <w:gridCol w:w="147"/>
        <w:gridCol w:w="109"/>
        <w:gridCol w:w="109"/>
        <w:gridCol w:w="109"/>
        <w:gridCol w:w="875"/>
        <w:gridCol w:w="716"/>
        <w:gridCol w:w="718"/>
        <w:gridCol w:w="109"/>
        <w:gridCol w:w="109"/>
        <w:gridCol w:w="109"/>
        <w:gridCol w:w="417"/>
        <w:gridCol w:w="1930"/>
        <w:gridCol w:w="312"/>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p>
            <w:pPr>
              <w:pStyle w:val="TableContents"/>
              <w:bidi w:val="0"/>
              <w:spacing w:lineRule="auto" w:line="240" w:before="0" w:after="20"/>
              <w:ind w:left="0" w:right="0" w:hanging="135"/>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May 1 - May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June 1 - June 30,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373,410 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373,410 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922,283 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 xml:space="preserve">July 1 - July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556,264 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556,264 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799,978 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929,674 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929,674 </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On June 3, 2025, the Company’s Board of Directors authorized an additional $800.0 million in repurchases under the Company’s existing share repurchase program, bringing the aggregate authorized repurchase amount to $1.0 billion. Repurchases of the Company's common stock may be made from time to time, either through open market transactions or in privately negotiated transactions. The timing of the repurchases will depend on certain factors, including but not limited to, market conditions and prices and management’s discretion. The repurchases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Company is not obligated to purchase any dollar amount or particular number of shares.</w:t>
      </w:r>
    </w:p>
    <w:p>
      <w:pPr>
        <w:pStyle w:val="TextBody"/>
        <w:bidi w:val="0"/>
        <w:spacing w:lineRule="auto" w:line="268" w:before="0" w:after="180"/>
        <w:ind w:left="0" w:right="0" w:hanging="18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Average price paid includes costs associated with the repurchases, excluding the 1% excise tax as a result of the Inflation Reduction Act (“IRA”).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erif" w:hAnsi="Times New Roman;serif"/>
          <w:b/>
          <w:color w:val="000000"/>
          <w:sz w:val="24"/>
        </w:rPr>
      </w:pPr>
      <w:r>
        <w:rPr>
          <w:rFonts w:ascii="Times New Roman;serif" w:hAnsi="Times New Roman;serif"/>
          <w:b/>
          <w:color w:val="000000"/>
          <w:sz w:val="24"/>
        </w:rPr>
        <w:t xml:space="preserve">ITEM 5. OTHER INFORMATION. </w:t>
      </w:r>
    </w:p>
    <w:p>
      <w:pPr>
        <w:pStyle w:val="TextBody"/>
        <w:bidi w:val="0"/>
        <w:spacing w:lineRule="auto" w:line="268" w:before="0" w:after="18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2025, two members of our board of directors and one of our executive officers adopted the following Rule 10b5-1 trading arrangements:</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June 18, 2025, Cedric Pech, our President of Field Operations, adopted a trading plan intended to satisfy the conditions under Rule 10b5-1(c) of the Exchange Act. Mr. Pech's plan is for the sale of up to 100% of the (net) shares of common stock resulting from the vesting of an aggregate of 48,196 RSUs and PSUs in amounts and prices determined in accordance with a formula set forth in the plan (net shares are net of tax withholding). The plan terminates on the earlier of (i) the date that all the shares under the plan are sold and (ii) June 18, 2026, subject to early termination for certain specified events set forth in the plan.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20, 2025, Dwight Merriman, a member of our board of directors, adopted a trading plan intended to satisfy the conditions under Rule 10b5-1(c) of the Exchange Act. Mr. Merriman’s plan is for the sale of shares of our common stock held by Mr. Merriman and certain of his affiliated entities in amounts of up to (i) 232,000 shares, plus (ii) a sufficient amount of shares necessary to attain $1.1 million in proceeds plus (iii) all shares received upon the vesting, if any, of RSUs granted to Mr. Merriman as part of his 2026 annual equity award grant for his board and committee service, in each case at prices determined in accordance with a formula set forth in the plan. The plan terminates on the earlier of the date that all the shares under the plan are sold and August 31, 2026, subject to early termination for certain specified events set forth in the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2025, Tom Killalea, a member of our board of directors, adopted a trading plan intended to satisfy the conditions under Rule 10b5-1(c) of the Exchange Act. Mr. Killalea’s plan is for the sale of up to 20,000 shares of common stock underlying stock options in amounts and prices determined in accordance with a formula set forth in the plan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terminates on the earlier of (i) the date that all the shares under the plan are sold and (ii) December 3, 2025, subject to early termination for certain specified events set forth in the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2025, other than noted above, none of our executive officers or directors terminated or modified a 10b5-1 equity trading plan, or adopted, terminated, or modified any “non-Rule 10b5-1 equity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312" w:before="0" w:after="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755"/>
        <w:gridCol w:w="1630"/>
        <w:gridCol w:w="1646"/>
        <w:gridCol w:w="109"/>
        <w:gridCol w:w="109"/>
        <w:gridCol w:w="109"/>
        <w:gridCol w:w="171"/>
        <w:gridCol w:w="171"/>
        <w:gridCol w:w="169"/>
        <w:gridCol w:w="251"/>
        <w:gridCol w:w="251"/>
        <w:gridCol w:w="218"/>
        <w:gridCol w:w="210"/>
        <w:gridCol w:w="210"/>
        <w:gridCol w:w="211"/>
        <w:gridCol w:w="218"/>
        <w:gridCol w:w="218"/>
        <w:gridCol w:w="219"/>
        <w:gridCol w:w="109"/>
        <w:gridCol w:w="109"/>
        <w:gridCol w:w="109"/>
        <w:gridCol w:w="270"/>
        <w:gridCol w:w="270"/>
        <w:gridCol w:w="392"/>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Form</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Exhibit</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73125xxex312certificat.htm">
              <w:r>
                <w:rPr>
                  <w:rStyle w:val="InternetLink"/>
                  <w:rFonts w:ascii="Times New Roman;serif" w:hAnsi="Times New Roman;serif"/>
                  <w:b w:val="false"/>
                  <w:color w:val="000080"/>
                  <w:sz w:val="20"/>
                  <w:u w:val="single"/>
                </w:rPr>
                <w:t>C</w:t>
              </w:r>
            </w:hyperlink>
            <w:hyperlink w:anchor="mdb-73125xxex312certificat.htm">
              <w:r>
                <w:rPr>
                  <w:rStyle w:val="InternetLink"/>
                  <w:rFonts w:ascii="Times New Roman;serif" w:hAnsi="Times New Roman;serif"/>
                  <w:b w:val="false"/>
                  <w:color w:val="000080"/>
                  <w:sz w:val="20"/>
                  <w:u w:val="single"/>
                </w:rPr>
                <w:t>ert</w:t>
              </w:r>
            </w:hyperlink>
            <w:hyperlink w:anchor="mdb-73125xxex312certificat.htm">
              <w:r>
                <w:rPr>
                  <w:rStyle w:val="InternetLink"/>
                  <w:rFonts w:ascii="Times New Roman;serif" w:hAnsi="Times New Roman;serif"/>
                  <w:b w:val="false"/>
                  <w:color w:val="000080"/>
                  <w:sz w:val="20"/>
                  <w:u w:val="single"/>
                </w:rPr>
                <w:t>if</w:t>
              </w:r>
            </w:hyperlink>
            <w:hyperlink w:anchor="mdb-73125xxex312certificat.htm">
              <w:r>
                <w:rPr>
                  <w:rStyle w:val="InternetLink"/>
                  <w:rFonts w:ascii="Times New Roman;serif" w:hAnsi="Times New Roman;serif"/>
                  <w:b w:val="false"/>
                  <w:color w:val="000080"/>
                  <w:sz w:val="20"/>
                  <w:u w:val="single"/>
                </w:rPr>
                <w:t>i</w:t>
              </w:r>
            </w:hyperlink>
            <w:hyperlink w:anchor="mdb-73125xxex312certificat.htm">
              <w:r>
                <w:rPr>
                  <w:rStyle w:val="InternetLink"/>
                  <w:rFonts w:ascii="Times New Roman;serif" w:hAnsi="Times New Roman;serif"/>
                  <w:b w:val="false"/>
                  <w:color w:val="000080"/>
                  <w:sz w:val="20"/>
                  <w:u w:val="single"/>
                </w:rPr>
                <w:t xml:space="preserve">cate of Amendment </w:t>
              </w:r>
            </w:hyperlink>
            <w:hyperlink w:anchor="mdb-73125xxex312certificat.htm">
              <w:r>
                <w:rPr>
                  <w:rStyle w:val="InternetLink"/>
                  <w:rFonts w:ascii="Times New Roman;serif" w:hAnsi="Times New Roman;serif"/>
                  <w:b w:val="false"/>
                  <w:color w:val="000080"/>
                  <w:sz w:val="20"/>
                  <w:u w:val="single"/>
                </w:rPr>
                <w:t>of</w:t>
              </w:r>
            </w:hyperlink>
            <w:hyperlink w:anchor="mdb-73125xxex312certificat.htm">
              <w:r>
                <w:rPr>
                  <w:rStyle w:val="InternetLink"/>
                  <w:rFonts w:ascii="Times New Roman;serif" w:hAnsi="Times New Roman;serif"/>
                  <w:b w:val="false"/>
                  <w:color w:val="000080"/>
                  <w:sz w:val="20"/>
                  <w:u w:val="single"/>
                </w:rPr>
                <w:t xml:space="preserve"> the Amend</w:t>
              </w:r>
            </w:hyperlink>
            <w:hyperlink w:anchor="mdb-73125xxex312certificat.htm">
              <w:r>
                <w:rPr>
                  <w:rStyle w:val="InternetLink"/>
                  <w:rFonts w:ascii="Times New Roman;serif" w:hAnsi="Times New Roman;serif"/>
                  <w:b w:val="false"/>
                  <w:color w:val="000080"/>
                  <w:sz w:val="20"/>
                  <w:u w:val="single"/>
                </w:rPr>
                <w:t>ed and Restated Certificate of Incorporation of the Re</w:t>
              </w:r>
            </w:hyperlink>
            <w:hyperlink w:anchor="mdb-73125xxex312certificat.htm">
              <w:r>
                <w:rPr>
                  <w:rStyle w:val="InternetLink"/>
                  <w:rFonts w:ascii="Times New Roman;serif" w:hAnsi="Times New Roman;serif"/>
                  <w:b w:val="false"/>
                  <w:color w:val="000080"/>
                  <w:sz w:val="20"/>
                  <w:u w:val="single"/>
                </w:rPr>
                <w:t>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73125x10q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73125x10q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73125x10q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73125x10q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12" w:before="0" w:after="160"/>
        <w:jc w:val="left"/>
        <w:rPr/>
      </w:pPr>
      <w:hyperlink w:anchor="iee72af723bc04450a906d6fdebb22890_7">
        <w:r>
          <w:rPr>
            <w:rStyle w:val="InternetLink"/>
            <w:rFonts w:ascii="Times New Roman;serif" w:hAnsi="Times New Roman;serif"/>
            <w:b w:val="false"/>
            <w:color w:val="0000FF"/>
            <w:sz w:val="16"/>
            <w:u w:val="single"/>
          </w:rPr>
          <w:t>Table of Contents</w:t>
        </w:r>
      </w:hyperlink>
    </w:p>
    <w:p>
      <w:pPr>
        <w:pStyle w:val="TextBody"/>
        <w:bidi w:val="0"/>
        <w:spacing w:lineRule="auto" w:line="312" w:before="0" w:after="160"/>
        <w:jc w:val="center"/>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lineRule="auto" w:line="288" w:before="0" w:after="180"/>
        <w:ind w:left="0" w:right="0" w:firstLine="5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43" w:type="dxa"/>
        <w:jc w:val="center"/>
        <w:tblInd w:w="0" w:type="dxa"/>
        <w:tblLayout w:type="fixed"/>
        <w:tblCellMar>
          <w:top w:w="28" w:type="dxa"/>
          <w:left w:w="28" w:type="dxa"/>
          <w:bottom w:w="28" w:type="dxa"/>
          <w:right w:w="28" w:type="dxa"/>
        </w:tblCellMar>
      </w:tblPr>
      <w:tblGrid>
        <w:gridCol w:w="705"/>
        <w:gridCol w:w="621"/>
        <w:gridCol w:w="624"/>
        <w:gridCol w:w="175"/>
        <w:gridCol w:w="175"/>
        <w:gridCol w:w="175"/>
        <w:gridCol w:w="219"/>
        <w:gridCol w:w="219"/>
        <w:gridCol w:w="221"/>
        <w:gridCol w:w="924"/>
        <w:gridCol w:w="924"/>
        <w:gridCol w:w="13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2025</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18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314" w:before="8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before="80" w:after="283"/>
        <w:jc w:val="right"/>
        <w:rPr/>
      </w:pPr>
      <w:r>
        <w:rPr/>
      </w:r>
    </w:p>
    <w:p>
      <w:pPr>
        <w:pStyle w:val="TextBody"/>
        <w:bidi w:val="0"/>
        <w:spacing w:lineRule="auto" w:line="314" w:before="80" w:after="283"/>
        <w:jc w:val="center"/>
        <w:rPr/>
      </w:pPr>
      <w:r>
        <w:rPr>
          <w:rFonts w:ascii="Times New Roman;serif" w:hAnsi="Times New Roman;serif"/>
          <w:b/>
          <w:color w:val="000000"/>
          <w:sz w:val="20"/>
          <w:u w:val="single"/>
        </w:rPr>
        <w:t>CERTIFICATE OF AMENDMENT</w:t>
      </w:r>
      <w:r>
        <w:rPr>
          <w:color w:val="000000"/>
        </w:rPr>
        <w:t xml:space="preserve"> </w:t>
      </w:r>
      <w:r>
        <w:rPr>
          <w:rFonts w:ascii="Times New Roman;serif" w:hAnsi="Times New Roman;serif"/>
          <w:b/>
          <w:color w:val="000000"/>
          <w:sz w:val="20"/>
          <w:u w:val="single"/>
        </w:rPr>
        <w:t>OF</w:t>
      </w:r>
    </w:p>
    <w:p>
      <w:pPr>
        <w:pStyle w:val="TextBody"/>
        <w:bidi w:val="0"/>
        <w:spacing w:lineRule="auto" w:line="336" w:before="13" w:after="283"/>
        <w:jc w:val="center"/>
        <w:rPr/>
      </w:pPr>
      <w:r>
        <w:rPr>
          <w:rFonts w:ascii="Times New Roman;serif" w:hAnsi="Times New Roman;serif"/>
          <w:b/>
          <w:color w:val="000000"/>
          <w:sz w:val="20"/>
          <w:u w:val="single"/>
        </w:rPr>
        <w:t>THE AMENDED AND RESTATED CERTIFICATE OF INCORPORATION</w:t>
      </w:r>
      <w:r>
        <w:rPr>
          <w:color w:val="000000"/>
        </w:rPr>
        <w:t xml:space="preserve"> </w:t>
      </w:r>
      <w:r>
        <w:rPr>
          <w:rFonts w:ascii="Times New Roman;serif" w:hAnsi="Times New Roman;serif"/>
          <w:b/>
          <w:color w:val="000000"/>
          <w:sz w:val="20"/>
          <w:u w:val="single"/>
        </w:rPr>
        <w:t>OF</w:t>
      </w:r>
    </w:p>
    <w:p>
      <w:pPr>
        <w:pStyle w:val="TextBody"/>
        <w:bidi w:val="0"/>
        <w:spacing w:lineRule="auto" w:line="261" w:before="0" w:after="0"/>
        <w:jc w:val="center"/>
        <w:rPr>
          <w:rFonts w:ascii="Times New Roman;serif" w:hAnsi="Times New Roman;serif"/>
          <w:b/>
          <w:color w:val="000000"/>
          <w:sz w:val="20"/>
          <w:u w:val="single"/>
        </w:rPr>
      </w:pPr>
      <w:r>
        <w:rPr>
          <w:rFonts w:ascii="Times New Roman;serif" w:hAnsi="Times New Roman;serif"/>
          <w:b/>
          <w:color w:val="000000"/>
          <w:sz w:val="20"/>
          <w:u w:val="single"/>
        </w:rPr>
        <w:t>MONGODB, INC.</w:t>
      </w:r>
    </w:p>
    <w:p>
      <w:pPr>
        <w:pStyle w:val="TextBody"/>
        <w:bidi w:val="0"/>
        <w:spacing w:before="92" w:after="283"/>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color w:val="000000"/>
          <w:sz w:val="20"/>
        </w:rPr>
        <w:t>July 18, 2025</w:t>
      </w:r>
    </w:p>
    <w:p>
      <w:pPr>
        <w:pStyle w:val="TextBody"/>
        <w:bidi w:val="0"/>
        <w:spacing w:before="92" w:after="283"/>
        <w:jc w:val="left"/>
        <w:rPr/>
      </w:pPr>
      <w:r>
        <w:rPr/>
      </w:r>
    </w:p>
    <w:p>
      <w:pPr>
        <w:pStyle w:val="TextBody"/>
        <w:bidi w:val="0"/>
        <w:spacing w:lineRule="auto" w:line="336" w:before="0" w:after="0"/>
        <w:ind w:left="0" w:right="0" w:hanging="1"/>
        <w:jc w:val="center"/>
        <w:rPr>
          <w:rFonts w:ascii="Times New Roman;serif" w:hAnsi="Times New Roman;serif"/>
          <w:b w:val="false"/>
          <w:color w:val="000000"/>
          <w:sz w:val="20"/>
        </w:rPr>
      </w:pPr>
      <w:r>
        <w:rPr>
          <w:rFonts w:ascii="Times New Roman;serif" w:hAnsi="Times New Roman;serif"/>
          <w:b w:val="false"/>
          <w:color w:val="000000"/>
          <w:sz w:val="20"/>
        </w:rPr>
        <w:t>Pursuant to Section 242 of the General Corporation Law of the State of Delaware</w:t>
      </w:r>
    </w:p>
    <w:p>
      <w:pPr>
        <w:pStyle w:val="TextBody"/>
        <w:bidi w:val="0"/>
        <w:spacing w:before="44"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before="92"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MongoDB, Inc., a Delaware corporation (hereinafter called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does hereby certify as</w:t>
      </w:r>
    </w:p>
    <w:p>
      <w:pPr>
        <w:pStyle w:val="TextBody"/>
        <w:bidi w:val="0"/>
        <w:spacing w:lineRule="auto" w:line="288" w:before="44" w:after="283"/>
        <w:jc w:val="left"/>
        <w:rPr>
          <w:rFonts w:ascii="Times New Roman;serif" w:hAnsi="Times New Roman;serif"/>
          <w:b w:val="false"/>
          <w:color w:val="000000"/>
          <w:sz w:val="20"/>
        </w:rPr>
      </w:pPr>
      <w:r>
        <w:rPr>
          <w:rFonts w:ascii="Times New Roman;serif" w:hAnsi="Times New Roman;serif"/>
          <w:b w:val="false"/>
          <w:color w:val="000000"/>
          <w:sz w:val="20"/>
        </w:rPr>
        <w:t>follows:</w:t>
      </w:r>
    </w:p>
    <w:p>
      <w:pPr>
        <w:pStyle w:val="TextBody"/>
        <w:bidi w:val="0"/>
        <w:spacing w:before="92" w:after="283"/>
        <w:jc w:val="left"/>
        <w:rPr/>
      </w:pPr>
      <w:r>
        <w:rPr/>
      </w:r>
    </w:p>
    <w:p>
      <w:pPr>
        <w:pStyle w:val="TextBody"/>
        <w:bidi w:val="0"/>
        <w:spacing w:lineRule="auto" w:line="33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1.The title of Article VI of the Corporation’s Amended and Restated Certificate of Incorporation is hereby amended to read in its entirety as set forth below:</w:t>
      </w:r>
    </w:p>
    <w:p>
      <w:pPr>
        <w:pStyle w:val="TextBody"/>
        <w:bidi w:val="0"/>
        <w:spacing w:before="29"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 DIRECTOR AND OFFICER LIABILITY</w:t>
      </w:r>
    </w:p>
    <w:p>
      <w:pPr>
        <w:pStyle w:val="TextBody"/>
        <w:bidi w:val="0"/>
        <w:spacing w:before="44" w:after="283"/>
        <w:jc w:val="left"/>
        <w:rPr/>
      </w:pPr>
      <w:r>
        <w:rPr/>
      </w:r>
    </w:p>
    <w:p>
      <w:pPr>
        <w:pStyle w:val="TextBody"/>
        <w:bidi w:val="0"/>
        <w:spacing w:lineRule="auto" w:line="336" w:before="0" w:after="0"/>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2.Clause 1 of Article VI of the Corporation’s Amended and Restated Certificate of Incorporation is hereby amended to read in its entirety as set forth below:</w:t>
      </w:r>
    </w:p>
    <w:p>
      <w:pPr>
        <w:pStyle w:val="TextBody"/>
        <w:bidi w:val="0"/>
        <w:spacing w:before="44" w:after="283"/>
        <w:jc w:val="left"/>
        <w:rPr/>
      </w:pPr>
      <w:r>
        <w:rPr/>
      </w:r>
    </w:p>
    <w:p>
      <w:pPr>
        <w:pStyle w:val="TextBody"/>
        <w:bidi w:val="0"/>
        <w:spacing w:lineRule="auto" w:line="33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1.The liability of the directors and officers of the Company for monetary damages shall be eliminated to the fullest extent under applicable law.</w:t>
      </w:r>
    </w:p>
    <w:p>
      <w:pPr>
        <w:pStyle w:val="TextBody"/>
        <w:bidi w:val="0"/>
        <w:spacing w:before="48" w:after="283"/>
        <w:jc w:val="left"/>
        <w:rPr/>
      </w:pPr>
      <w:r>
        <w:rPr/>
      </w:r>
    </w:p>
    <w:p>
      <w:pPr>
        <w:pStyle w:val="TextBody"/>
        <w:bidi w:val="0"/>
        <w:spacing w:lineRule="auto" w:line="336" w:before="0" w:after="0"/>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3.The foregoing amendments were duly adopted in accordance with Section 242 of the General Corporation Law of the State of Delaware.</w:t>
      </w:r>
    </w:p>
    <w:p>
      <w:pPr>
        <w:pStyle w:val="TextBody"/>
        <w:bidi w:val="0"/>
        <w:spacing w:before="44" w:after="283"/>
        <w:jc w:val="left"/>
        <w:rPr/>
      </w:pPr>
      <w:r>
        <w:rPr/>
      </w:r>
    </w:p>
    <w:p>
      <w:pPr>
        <w:pStyle w:val="TextBody"/>
        <w:bidi w:val="0"/>
        <w:spacing w:lineRule="auto" w:line="331" w:before="0" w:after="0"/>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of Amendment as of the date first written above.</w:t>
      </w:r>
    </w:p>
    <w:p>
      <w:pPr>
        <w:pStyle w:val="TextBody"/>
        <w:bidi w:val="0"/>
        <w:spacing w:before="0" w:after="0"/>
        <w:jc w:val="left"/>
        <w:rPr/>
      </w:pPr>
      <w:r>
        <w:rPr/>
      </w:r>
    </w:p>
    <w:p>
      <w:pPr>
        <w:pStyle w:val="TextBody"/>
        <w:bidi w:val="0"/>
        <w:spacing w:before="97"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MONGODB, INC.</w:t>
      </w:r>
    </w:p>
    <w:p>
      <w:pPr>
        <w:pStyle w:val="TextBody"/>
        <w:bidi w:val="0"/>
        <w:spacing w:before="0" w:after="0"/>
        <w:jc w:val="left"/>
        <w:rPr/>
      </w:pPr>
      <w:r>
        <w:rPr/>
      </w:r>
    </w:p>
    <w:p>
      <w:pPr>
        <w:pStyle w:val="TextBody"/>
        <w:bidi w:val="0"/>
        <w:spacing w:before="135" w:after="283"/>
        <w:jc w:val="left"/>
        <w:rPr/>
      </w:pPr>
      <w:r>
        <w:rPr/>
      </w:r>
    </w:p>
    <w:p>
      <w:pPr>
        <w:pStyle w:val="TextBody"/>
        <w:bidi w:val="0"/>
        <w:spacing w:lineRule="auto" w:line="288" w:before="1" w:after="283"/>
        <w:jc w:val="left"/>
        <w:rPr/>
      </w:pPr>
      <w:r>
        <w:rPr>
          <w:rFonts w:ascii="Times New Roman;serif" w:hAnsi="Times New Roman;serif"/>
          <w:b w:val="false"/>
          <w:color w:val="000000"/>
          <w:sz w:val="20"/>
        </w:rPr>
        <w:t>By:</w:t>
      </w:r>
      <w:r>
        <w:rPr>
          <w:color w:val="000000"/>
          <w:u w:val="single"/>
        </w:rPr>
        <w:t>    </w:t>
      </w:r>
      <w:r>
        <w:rPr>
          <w:rFonts w:ascii="Times New Roman;serif" w:hAnsi="Times New Roman;serif"/>
          <w:b w:val="false"/>
          <w:color w:val="000000"/>
          <w:sz w:val="20"/>
          <w:u w:val="single"/>
        </w:rPr>
        <w:t>/s/ Dev Ittycheria    </w:t>
      </w:r>
    </w:p>
    <w:p>
      <w:pPr>
        <w:pStyle w:val="TextBody"/>
        <w:bidi w:val="0"/>
        <w:spacing w:lineRule="auto" w:line="288" w:before="119" w:after="283"/>
        <w:jc w:val="left"/>
        <w:rPr>
          <w:rFonts w:ascii="Times New Roman;serif" w:hAnsi="Times New Roman;serif"/>
          <w:b w:val="false"/>
          <w:color w:val="000000"/>
          <w:sz w:val="20"/>
        </w:rPr>
      </w:pPr>
      <w:r>
        <w:rPr>
          <w:rFonts w:ascii="Times New Roman;serif" w:hAnsi="Times New Roman;serif"/>
          <w:b w:val="false"/>
          <w:color w:val="000000"/>
          <w:sz w:val="20"/>
        </w:rPr>
        <w:t>Name:    Dev Ittycheria</w:t>
      </w:r>
    </w:p>
    <w:p>
      <w:pPr>
        <w:pStyle w:val="TextBody"/>
        <w:bidi w:val="0"/>
        <w:spacing w:lineRule="auto" w:line="288" w:before="163"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Dev Ittycheria,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22"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219"/>
        <w:gridCol w:w="219"/>
        <w:gridCol w:w="221"/>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32"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219"/>
        <w:gridCol w:w="219"/>
        <w:gridCol w:w="221"/>
        <w:gridCol w:w="737"/>
        <w:gridCol w:w="737"/>
        <w:gridCol w:w="10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Dev Ittycheria, certify, pursuant to 18 U.S.C. Section 1350, as adopted pursuant to Section 906 of the Sarbanes-Oxley Act of 2002, that the Quarterly Report on Form 10-Q of MongoDB, Inc. for the period ended July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222"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219"/>
        <w:gridCol w:w="219"/>
        <w:gridCol w:w="221"/>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 Ittycheria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J. Berry, certify, pursuant to 18 U.S.C. Section 1350, as adopted pursuant to Section 906 of the Sarbanes-Oxley Act of 2002, that the Quarterly Report on Form 10-Q of MongoDB, Inc. for the period ended July 31, 2025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5532" w:type="dxa"/>
        <w:jc w:val="center"/>
        <w:tblInd w:w="0" w:type="dxa"/>
        <w:tblLayout w:type="fixed"/>
        <w:tblCellMar>
          <w:top w:w="28" w:type="dxa"/>
          <w:left w:w="28" w:type="dxa"/>
          <w:bottom w:w="28" w:type="dxa"/>
          <w:right w:w="28" w:type="dxa"/>
        </w:tblCellMar>
      </w:tblPr>
      <w:tblGrid>
        <w:gridCol w:w="705"/>
        <w:gridCol w:w="621"/>
        <w:gridCol w:w="624"/>
        <w:gridCol w:w="134"/>
        <w:gridCol w:w="134"/>
        <w:gridCol w:w="136"/>
        <w:gridCol w:w="219"/>
        <w:gridCol w:w="219"/>
        <w:gridCol w:w="221"/>
        <w:gridCol w:w="737"/>
        <w:gridCol w:w="737"/>
        <w:gridCol w:w="10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Berry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1816/000110465917063753/a17-24439_1ex3d1.htm" TargetMode="External"/><Relationship Id="rId3" Type="http://schemas.openxmlformats.org/officeDocument/2006/relationships/hyperlink" Target="https://www.sec.gov/Archives/edgar/data/1441816/000144181620000114/mdb-certificateofretir.htm" TargetMode="External"/><Relationship Id="rId4" Type="http://schemas.openxmlformats.org/officeDocument/2006/relationships/hyperlink" Target="https://www.sec.gov/Archives/edgar/data/1441816/000144181624000247/amendedandrestatedbylawsof.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50821</Words>
  <Characters>283484</Characters>
  <CharactersWithSpaces>332479</CharactersWithSpaces>
  <Paragraphs>3271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