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Ittycheria Dev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MongoDB,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50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03"/>
              <w:spacing w:after="0"/>
              <w:rPr>
                <w:sz w:val="20"/>
                <w:szCs w:val="20"/>
                <w:color w:val="auto"/>
              </w:rPr>
            </w:pPr>
            <w:r>
              <w:rPr>
                <w:rFonts w:ascii="Times New Roman" w:cs="Times New Roman" w:eastAsia="Times New Roman" w:hAnsi="Times New Roman"/>
                <w:sz w:val="17"/>
                <w:szCs w:val="17"/>
                <w:color w:val="0000FF"/>
              </w:rPr>
              <w:t>04/02/2025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6,544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264,476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03"/>
              <w:spacing w:after="0"/>
              <w:rPr>
                <w:sz w:val="20"/>
                <w:szCs w:val="20"/>
                <w:color w:val="auto"/>
              </w:rPr>
            </w:pPr>
            <w:r>
              <w:rPr>
                <w:rFonts w:ascii="Times New Roman" w:cs="Times New Roman" w:eastAsia="Times New Roman" w:hAnsi="Times New Roman"/>
                <w:sz w:val="17"/>
                <w:szCs w:val="17"/>
                <w:color w:val="0000FF"/>
              </w:rPr>
              <w:t>04/02/2025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16,709</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281,185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03"/>
              <w:spacing w:after="0"/>
              <w:rPr>
                <w:sz w:val="20"/>
                <w:szCs w:val="20"/>
                <w:color w:val="auto"/>
              </w:rPr>
            </w:pPr>
            <w:r>
              <w:rPr>
                <w:rFonts w:ascii="Times New Roman" w:cs="Times New Roman" w:eastAsia="Times New Roman" w:hAnsi="Times New Roman"/>
                <w:sz w:val="17"/>
                <w:szCs w:val="17"/>
                <w:color w:val="0000FF"/>
              </w:rPr>
              <w:t>04/02/2025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281,807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03"/>
              <w:spacing w:after="0"/>
              <w:rPr>
                <w:sz w:val="20"/>
                <w:szCs w:val="20"/>
                <w:color w:val="auto"/>
              </w:rPr>
            </w:pPr>
            <w:r>
              <w:rPr>
                <w:rFonts w:ascii="Times New Roman" w:cs="Times New Roman" w:eastAsia="Times New Roman" w:hAnsi="Times New Roman"/>
                <w:sz w:val="17"/>
                <w:szCs w:val="17"/>
                <w:color w:val="0000FF"/>
              </w:rPr>
              <w:t>04/02/2025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5,653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287,460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03"/>
              <w:spacing w:after="0"/>
              <w:rPr>
                <w:sz w:val="20"/>
                <w:szCs w:val="20"/>
                <w:color w:val="auto"/>
              </w:rPr>
            </w:pPr>
            <w:r>
              <w:rPr>
                <w:rFonts w:ascii="Times New Roman" w:cs="Times New Roman" w:eastAsia="Times New Roman" w:hAnsi="Times New Roman"/>
                <w:sz w:val="17"/>
                <w:szCs w:val="17"/>
                <w:color w:val="0000FF"/>
              </w:rPr>
              <w:t>04/02/2025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18,512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173.26</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268,948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received upon the vesting of a portion of the performance-based restricted stock units ("RSUs") awarded to the Reporting Person on March 11, 2022 under the Issuer's long-term incentive bonus plan and 2016 Equity Incentive Plan, which vested based on the Issuer's satisfaction of certain performance criteria. In light of the performance-based vesting criteria of the RSUs, such shares were not previously reportable under Section 16. Each RSU represents the contingent right to receive one share of common stock of the Issuer.</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received upon the vesting of a portion of the performance-based restricted stock units ("RSUs") awarded to the Reporting Person on March 24, 2023 under the Issuer's long-term incentive bonus plan and 2016 Equity Incentive Plan, which vested based on the Issuer's satisfaction of certain performance criteria. In light of the performance-based vesting criteria of the RSUs, such shares were not previously reportable under Section 16. Each RSU represents the contingent right to receive one share of common stock of the Issuer.</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received upon the vesting of a portion of the performance-based restricted stock units ("RSUs") awarded to the Reporting Person on March 20, 2024 under the Issuer's long-term incentive bonus plan and 2016 Equity Incentive Plan, which vested based on the Issuer's satisfaction of certain performance criteria. In light of the performance-based vesting criteria of the RSUs, such shares were not previously reportable under Section 16. Each RSU represents the contingent right to receive one share of common stock of the Issuer.</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received upon the vesting of a portion of the performance-based restricted stock units ("RSUs") awarded to the Reporting Person on March 22, 2024 under the Issuer's long-term incentive bonus plan and 2016 Equity Incentive Plan, which vested based on the Issuer's satisfaction of certain performance criteria. In light of the performance-based vesting criteria of the RSUs, such shares were not previously reportable under Section 16. Each RSU represents the contingent right to receive one share of common stock of the Issuer.</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shares of Class A common stock to satisfy the Reporting Person's tax withholding obligations in connection with (i) the non-reportable service-based vesting and settlement of restricted stock units and (ii) the performance-based vesting and settlement of the above-listed RSUs.</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$173.25 to $174.09,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04/04/2025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97383"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2025-04-04T17:19:48Z</dcterms:created>
  <dcterms:modified xsi:type="dcterms:W3CDTF">2025-04-04T17:19:48Z</dcterms:modified>
</cp:coreProperties>
</file>