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77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77990"/>
                    </a:xfrm>
                    <a:prstGeom prst="rect">
                      <a:avLst/>
                    </a:prstGeom>
                    <a:noFill/>
                  </pic:spPr>
                </pic:pic>
              </a:graphicData>
            </a:graphic>
          </wp:anchor>
        </w:drawing>
      </w:r>
    </w:p>
    <w:p>
      <w:pPr>
        <w:spacing w:after="0" w:line="1222" w:lineRule="exact"/>
        <w:rPr>
          <w:sz w:val="24"/>
          <w:szCs w:val="24"/>
          <w:color w:val="auto"/>
        </w:rPr>
      </w:pPr>
    </w:p>
    <w:p>
      <w:pPr>
        <w:sectPr>
          <w:pgSz w:w="11900" w:h="1687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09/19/2025</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7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7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39"/>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4,417</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318.66</w:t>
            </w:r>
            <w:r>
              <w:rPr>
                <w:rFonts w:ascii="Times New Roman" w:cs="Times New Roman" w:eastAsia="Times New Roman" w:hAnsi="Times New Roman"/>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1,099,899</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8,229</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319.55</w:t>
            </w:r>
            <w:r>
              <w:rPr>
                <w:rFonts w:ascii="Times New Roman" w:cs="Times New Roman" w:eastAsia="Times New Roman" w:hAnsi="Times New Roman"/>
                <w:sz w:val="22"/>
                <w:szCs w:val="22"/>
                <w:color w:val="008000"/>
                <w:w w:val="95"/>
                <w:vertAlign w:val="superscript"/>
              </w:rPr>
              <w:t>(3)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1,091,670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5,602</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320.63</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1,086,068</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6,361</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321.39</w:t>
            </w:r>
            <w:r>
              <w:rPr>
                <w:rFonts w:ascii="Times New Roman" w:cs="Times New Roman" w:eastAsia="Times New Roman" w:hAnsi="Times New Roman"/>
                <w:sz w:val="22"/>
                <w:szCs w:val="22"/>
                <w:color w:val="008000"/>
                <w:w w:val="95"/>
                <w:vertAlign w:val="superscript"/>
              </w:rPr>
              <w:t>(5)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1,079,707</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391</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322.67</w:t>
            </w:r>
            <w:r>
              <w:rPr>
                <w:rFonts w:ascii="Times New Roman" w:cs="Times New Roman" w:eastAsia="Times New Roman" w:hAnsi="Times New Roman"/>
                <w:sz w:val="22"/>
                <w:szCs w:val="22"/>
                <w:color w:val="008000"/>
                <w:w w:val="95"/>
                <w:vertAlign w:val="superscript"/>
              </w:rPr>
              <w:t>(6)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1,079,316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320.08</w:t>
            </w:r>
            <w:r>
              <w:rPr>
                <w:rFonts w:ascii="Times New Roman" w:cs="Times New Roman" w:eastAsia="Times New Roman" w:hAnsi="Times New Roman"/>
                <w:sz w:val="22"/>
                <w:szCs w:val="22"/>
                <w:color w:val="008000"/>
                <w:w w:val="95"/>
                <w:vertAlign w:val="superscript"/>
              </w:rPr>
              <w:t>(7)</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516,896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09/19/2025</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322.24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514,896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83,845</w:t>
            </w:r>
          </w:p>
        </w:tc>
        <w:tc>
          <w:tcPr>
            <w:tcW w:w="320" w:type="dxa"/>
            <w:vAlign w:val="bottom"/>
          </w:tcPr>
          <w:p>
            <w:pPr>
              <w:spacing w:after="0"/>
              <w:rPr>
                <w:sz w:val="18"/>
                <w:szCs w:val="18"/>
                <w:color w:val="auto"/>
              </w:rPr>
            </w:pPr>
          </w:p>
        </w:tc>
        <w:tc>
          <w:tcPr>
            <w:tcW w:w="580" w:type="dxa"/>
            <w:vAlign w:val="bottom"/>
            <w:vMerge w:val="restart"/>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39"/>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$318.08 to $319.05,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$319.10 to $320.09,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$320.14 to $321.13,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$321.14 to $321.96,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$322.61 to $322.84,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ectPr>
          <w:pgSz w:w="11900" w:h="16870" w:orient="portrait"/>
          <w:cols w:equalWidth="0" w:num="1">
            <w:col w:w="11080"/>
          </w:cols>
          <w:pgMar w:left="460" w:top="219" w:right="359" w:bottom="0" w:gutter="0" w:footer="0" w:header="0"/>
          <w:type w:val="continuous"/>
        </w:sectPr>
      </w:pPr>
    </w:p>
    <w:bookmarkStart w:id="1" w:name="page2"/>
    <w:bookmarkEnd w:id="1"/>
    <w:p>
      <w:pPr>
        <w:jc w:val="both"/>
        <w:ind w:right="2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$320.07 to $320.09,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Class A Common Stock held by the Dwight A. Merriman Charitable Foundation, but has no pecuniary interest in these shares.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09/23/2025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2025-09-23T15:18:09Z</dcterms:created>
  <dcterms:modified xsi:type="dcterms:W3CDTF">2025-09-23T15:18:09Z</dcterms:modified>
</cp:coreProperties>
</file>