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3379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33793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MERRIMAN DWIGHT A</w:t>
              </w:r>
            </w:hyperlink>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MongoDB,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MDB</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00" w:type="dxa"/>
            <w:vAlign w:val="bottom"/>
            <w:gridSpan w:val="2"/>
            <w:vMerge w:val="continue"/>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tcBorders>
              <w:bottom w:val="single" w:sz="8" w:color="0000EE"/>
            </w:tcBorders>
          </w:tcPr>
          <w:p>
            <w:pPr>
              <w:spacing w:after="0"/>
              <w:rPr>
                <w:sz w:val="6"/>
                <w:szCs w:val="6"/>
                <w:color w:val="auto"/>
              </w:rPr>
            </w:pPr>
          </w:p>
        </w:tc>
        <w:tc>
          <w:tcPr>
            <w:tcW w:w="24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2300" w:type="dxa"/>
            <w:vAlign w:val="bottom"/>
            <w:tcBorders>
              <w:bottom w:val="single" w:sz="8" w:color="0000EE"/>
            </w:tcBorders>
            <w:gridSpan w:val="2"/>
            <w:vMerge w:val="continue"/>
          </w:tcPr>
          <w:p>
            <w:pPr>
              <w:spacing w:after="0"/>
              <w:rPr>
                <w:sz w:val="5"/>
                <w:szCs w:val="5"/>
                <w:color w:val="auto"/>
              </w:rPr>
            </w:pPr>
          </w:p>
        </w:tc>
        <w:tc>
          <w:tcPr>
            <w:tcW w:w="1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52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2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5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12/12/2025</w:t>
            </w:r>
          </w:p>
        </w:tc>
        <w:tc>
          <w:tcPr>
            <w:tcW w:w="24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MONGODB, INC.</w:t>
            </w:r>
          </w:p>
        </w:tc>
        <w:tc>
          <w:tcPr>
            <w:tcW w:w="1340" w:type="dxa"/>
            <w:vAlign w:val="bottom"/>
          </w:tcPr>
          <w:p>
            <w:pPr>
              <w:spacing w:after="0"/>
              <w:rPr>
                <w:sz w:val="11"/>
                <w:szCs w:val="11"/>
                <w:color w:val="auto"/>
              </w:rPr>
            </w:pPr>
          </w:p>
        </w:tc>
        <w:tc>
          <w:tcPr>
            <w:tcW w:w="1500" w:type="dxa"/>
            <w:vAlign w:val="bottom"/>
            <w:gridSpan w:val="3"/>
            <w:vMerge w:val="continue"/>
          </w:tcPr>
          <w:p>
            <w:pPr>
              <w:spacing w:after="0"/>
              <w:rPr>
                <w:sz w:val="11"/>
                <w:szCs w:val="11"/>
                <w:color w:val="auto"/>
              </w:rPr>
            </w:pPr>
          </w:p>
        </w:tc>
        <w:tc>
          <w:tcPr>
            <w:tcW w:w="24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00" w:type="dxa"/>
            <w:vAlign w:val="bottom"/>
            <w:gridSpan w:val="2"/>
            <w:vMerge w:val="continue"/>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1633 BROADWAY, 38TH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40" w:type="dxa"/>
            <w:vAlign w:val="bottom"/>
            <w:tcBorders>
              <w:bottom w:val="single" w:sz="8" w:color="2C2C2C"/>
            </w:tcBorders>
          </w:tcPr>
          <w:p>
            <w:pPr>
              <w:spacing w:after="0"/>
              <w:rPr>
                <w:sz w:val="12"/>
                <w:szCs w:val="12"/>
                <w:color w:val="auto"/>
              </w:rPr>
            </w:pPr>
          </w:p>
        </w:tc>
        <w:tc>
          <w:tcPr>
            <w:tcW w:w="24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18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3"/>
                <w:szCs w:val="13"/>
                <w:color w:val="auto"/>
              </w:rPr>
            </w:pPr>
          </w:p>
        </w:tc>
        <w:tc>
          <w:tcPr>
            <w:tcW w:w="21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jc w:val="center"/>
              <w:ind w:right="1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jc w:val="center"/>
              <w:ind w:left="10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94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3"/>
                <w:szCs w:val="13"/>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1320" w:type="dxa"/>
            <w:vAlign w:val="bottom"/>
            <w:tcBorders>
              <w:top w:val="single" w:sz="8" w:color="2C2C2C"/>
            </w:tcBorders>
            <w:gridSpan w:val="3"/>
            <w:vMerge w:val="restart"/>
          </w:tcPr>
          <w:p>
            <w:pPr>
              <w:ind w:left="8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60" w:type="dxa"/>
            <w:vAlign w:val="bottom"/>
            <w:vMerge w:val="restart"/>
          </w:tcPr>
          <w:p>
            <w:pPr>
              <w:spacing w:after="0"/>
              <w:rPr>
                <w:sz w:val="7"/>
                <w:szCs w:val="7"/>
                <w:color w:val="auto"/>
              </w:rPr>
            </w:pPr>
          </w:p>
        </w:tc>
        <w:tc>
          <w:tcPr>
            <w:tcW w:w="700" w:type="dxa"/>
            <w:vAlign w:val="bottom"/>
          </w:tcPr>
          <w:p>
            <w:pPr>
              <w:spacing w:after="0" w:line="86"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w w:val="93"/>
              </w:rPr>
              <w:t>Code</w:t>
            </w:r>
          </w:p>
        </w:tc>
        <w:tc>
          <w:tcPr>
            <w:tcW w:w="420" w:type="dxa"/>
            <w:vAlign w:val="bottom"/>
          </w:tcPr>
          <w:p>
            <w:pPr>
              <w:jc w:val="center"/>
              <w:spacing w:after="0"/>
              <w:rPr>
                <w:sz w:val="20"/>
                <w:szCs w:val="20"/>
                <w:color w:val="auto"/>
              </w:rPr>
            </w:pPr>
            <w:r>
              <w:rPr>
                <w:rFonts w:ascii="Arial" w:cs="Arial" w:eastAsia="Arial" w:hAnsi="Arial"/>
                <w:sz w:val="12"/>
                <w:szCs w:val="12"/>
                <w:b w:val="1"/>
                <w:bCs w:val="1"/>
                <w:color w:val="auto"/>
                <w:w w:val="99"/>
              </w:rPr>
              <w:t>V</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20" w:type="dxa"/>
            <w:vAlign w:val="bottom"/>
            <w:gridSpan w:val="3"/>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jc w:val="right"/>
              <w:ind w:right="41"/>
              <w:spacing w:after="0"/>
              <w:rPr>
                <w:sz w:val="20"/>
                <w:szCs w:val="20"/>
                <w:color w:val="auto"/>
              </w:rPr>
            </w:pPr>
            <w:r>
              <w:rPr>
                <w:rFonts w:ascii="Arial" w:cs="Arial" w:eastAsia="Arial" w:hAnsi="Arial"/>
                <w:sz w:val="12"/>
                <w:szCs w:val="12"/>
                <w:b w:val="1"/>
                <w:bCs w:val="1"/>
                <w:color w:val="auto"/>
              </w:rPr>
              <w:t>(D)</w:t>
            </w:r>
          </w:p>
        </w:tc>
        <w:tc>
          <w:tcPr>
            <w:tcW w:w="9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gridSpan w:val="2"/>
          </w:tcPr>
          <w:p>
            <w:pPr>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48"/>
              <w:spacing w:after="0"/>
              <w:rPr>
                <w:sz w:val="20"/>
                <w:szCs w:val="20"/>
                <w:color w:val="auto"/>
              </w:rPr>
            </w:pPr>
            <w:r>
              <w:rPr>
                <w:rFonts w:ascii="Times New Roman" w:cs="Times New Roman" w:eastAsia="Times New Roman" w:hAnsi="Times New Roman"/>
                <w:sz w:val="17"/>
                <w:szCs w:val="17"/>
                <w:color w:val="0000FF"/>
              </w:rPr>
              <w:t>12/12/2025</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10,000</w:t>
            </w:r>
          </w:p>
        </w:tc>
        <w:tc>
          <w:tcPr>
            <w:tcW w:w="360" w:type="dxa"/>
            <w:vAlign w:val="bottom"/>
            <w:tcBorders>
              <w:bottom w:val="single" w:sz="8" w:color="2C2C2C"/>
            </w:tcBorders>
          </w:tcPr>
          <w:p>
            <w:pPr>
              <w:jc w:val="center"/>
              <w:ind w:left="61"/>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ind w:left="92"/>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417.83</w:t>
            </w:r>
            <w:r>
              <w:rPr>
                <w:rFonts w:ascii="Times New Roman" w:cs="Times New Roman" w:eastAsia="Times New Roman" w:hAnsi="Times New Roman"/>
                <w:sz w:val="22"/>
                <w:szCs w:val="22"/>
                <w:color w:val="008000"/>
                <w:w w:val="95"/>
                <w:vertAlign w:val="superscript"/>
              </w:rPr>
              <w:t>(2)</w:t>
            </w: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60"/>
              <w:spacing w:after="0"/>
              <w:rPr>
                <w:sz w:val="20"/>
                <w:szCs w:val="20"/>
                <w:color w:val="auto"/>
              </w:rPr>
            </w:pPr>
            <w:r>
              <w:rPr>
                <w:rFonts w:ascii="Times New Roman" w:cs="Times New Roman" w:eastAsia="Times New Roman" w:hAnsi="Times New Roman"/>
                <w:sz w:val="17"/>
                <w:szCs w:val="17"/>
                <w:color w:val="0000FF"/>
                <w:w w:val="99"/>
              </w:rPr>
              <w:t>1,041,316</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3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48"/>
              <w:spacing w:after="0"/>
              <w:rPr>
                <w:sz w:val="20"/>
                <w:szCs w:val="20"/>
                <w:color w:val="auto"/>
              </w:rPr>
            </w:pPr>
            <w:r>
              <w:rPr>
                <w:rFonts w:ascii="Times New Roman" w:cs="Times New Roman" w:eastAsia="Times New Roman" w:hAnsi="Times New Roman"/>
                <w:sz w:val="17"/>
                <w:szCs w:val="17"/>
                <w:color w:val="0000FF"/>
              </w:rPr>
              <w:t>12/15/2025</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1,000</w:t>
            </w:r>
          </w:p>
        </w:tc>
        <w:tc>
          <w:tcPr>
            <w:tcW w:w="360" w:type="dxa"/>
            <w:vAlign w:val="bottom"/>
            <w:tcBorders>
              <w:bottom w:val="single" w:sz="8" w:color="2C2C2C"/>
            </w:tcBorders>
          </w:tcPr>
          <w:p>
            <w:pPr>
              <w:jc w:val="center"/>
              <w:ind w:left="61"/>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ind w:left="92"/>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416.78</w:t>
            </w:r>
            <w:r>
              <w:rPr>
                <w:rFonts w:ascii="Times New Roman" w:cs="Times New Roman" w:eastAsia="Times New Roman" w:hAnsi="Times New Roman"/>
                <w:sz w:val="22"/>
                <w:szCs w:val="22"/>
                <w:color w:val="008000"/>
                <w:w w:val="95"/>
                <w:vertAlign w:val="superscript"/>
              </w:rPr>
              <w:t>(3)</w:t>
            </w: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60"/>
              <w:spacing w:after="0"/>
              <w:rPr>
                <w:sz w:val="20"/>
                <w:szCs w:val="20"/>
                <w:color w:val="auto"/>
              </w:rPr>
            </w:pPr>
            <w:r>
              <w:rPr>
                <w:rFonts w:ascii="Times New Roman" w:cs="Times New Roman" w:eastAsia="Times New Roman" w:hAnsi="Times New Roman"/>
                <w:sz w:val="17"/>
                <w:szCs w:val="17"/>
                <w:color w:val="0000FF"/>
              </w:rPr>
              <w:t>501,896</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17"/>
                <w:szCs w:val="17"/>
                <w:color w:val="0000FF"/>
              </w:rPr>
              <w:t>By Trust</w:t>
            </w:r>
            <w:r>
              <w:rPr>
                <w:rFonts w:ascii="Times New Roman" w:cs="Times New Roman" w:eastAsia="Times New Roman" w:hAnsi="Times New Roman"/>
                <w:sz w:val="22"/>
                <w:szCs w:val="22"/>
                <w:color w:val="008000"/>
                <w:vertAlign w:val="superscript"/>
              </w:rPr>
              <w:t>(4)</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48"/>
              <w:spacing w:after="0"/>
              <w:rPr>
                <w:sz w:val="20"/>
                <w:szCs w:val="20"/>
                <w:color w:val="auto"/>
              </w:rPr>
            </w:pPr>
            <w:r>
              <w:rPr>
                <w:rFonts w:ascii="Times New Roman" w:cs="Times New Roman" w:eastAsia="Times New Roman" w:hAnsi="Times New Roman"/>
                <w:sz w:val="17"/>
                <w:szCs w:val="17"/>
                <w:color w:val="0000FF"/>
              </w:rPr>
              <w:t>12/15/2025</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890</w:t>
            </w:r>
          </w:p>
        </w:tc>
        <w:tc>
          <w:tcPr>
            <w:tcW w:w="360" w:type="dxa"/>
            <w:vAlign w:val="bottom"/>
            <w:tcBorders>
              <w:bottom w:val="single" w:sz="8" w:color="2C2C2C"/>
            </w:tcBorders>
          </w:tcPr>
          <w:p>
            <w:pPr>
              <w:jc w:val="center"/>
              <w:ind w:left="61"/>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ind w:left="92"/>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418.58</w:t>
            </w:r>
            <w:r>
              <w:rPr>
                <w:rFonts w:ascii="Times New Roman" w:cs="Times New Roman" w:eastAsia="Times New Roman" w:hAnsi="Times New Roman"/>
                <w:sz w:val="22"/>
                <w:szCs w:val="22"/>
                <w:color w:val="008000"/>
                <w:w w:val="95"/>
                <w:vertAlign w:val="superscript"/>
              </w:rPr>
              <w:t>(5)</w:t>
            </w: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60"/>
              <w:spacing w:after="0"/>
              <w:rPr>
                <w:sz w:val="20"/>
                <w:szCs w:val="20"/>
                <w:color w:val="auto"/>
              </w:rPr>
            </w:pPr>
            <w:r>
              <w:rPr>
                <w:rFonts w:ascii="Times New Roman" w:cs="Times New Roman" w:eastAsia="Times New Roman" w:hAnsi="Times New Roman"/>
                <w:sz w:val="17"/>
                <w:szCs w:val="17"/>
                <w:color w:val="0000FF"/>
              </w:rPr>
              <w:t>501,006</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17"/>
                <w:szCs w:val="17"/>
                <w:color w:val="0000FF"/>
              </w:rPr>
              <w:t>By Trust</w:t>
            </w:r>
            <w:r>
              <w:rPr>
                <w:rFonts w:ascii="Times New Roman" w:cs="Times New Roman" w:eastAsia="Times New Roman" w:hAnsi="Times New Roman"/>
                <w:sz w:val="22"/>
                <w:szCs w:val="22"/>
                <w:color w:val="008000"/>
                <w:vertAlign w:val="superscript"/>
              </w:rPr>
              <w:t>(4)</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48"/>
              <w:spacing w:after="0"/>
              <w:rPr>
                <w:sz w:val="20"/>
                <w:szCs w:val="20"/>
                <w:color w:val="auto"/>
              </w:rPr>
            </w:pPr>
            <w:r>
              <w:rPr>
                <w:rFonts w:ascii="Times New Roman" w:cs="Times New Roman" w:eastAsia="Times New Roman" w:hAnsi="Times New Roman"/>
                <w:sz w:val="17"/>
                <w:szCs w:val="17"/>
                <w:color w:val="0000FF"/>
              </w:rPr>
              <w:t>12/15/2025</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1,926</w:t>
            </w:r>
          </w:p>
        </w:tc>
        <w:tc>
          <w:tcPr>
            <w:tcW w:w="360" w:type="dxa"/>
            <w:vAlign w:val="bottom"/>
            <w:tcBorders>
              <w:bottom w:val="single" w:sz="8" w:color="2C2C2C"/>
            </w:tcBorders>
          </w:tcPr>
          <w:p>
            <w:pPr>
              <w:jc w:val="center"/>
              <w:ind w:left="61"/>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ind w:left="72"/>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419.5</w:t>
            </w:r>
            <w:r>
              <w:rPr>
                <w:rFonts w:ascii="Times New Roman" w:cs="Times New Roman" w:eastAsia="Times New Roman" w:hAnsi="Times New Roman"/>
                <w:sz w:val="22"/>
                <w:szCs w:val="22"/>
                <w:color w:val="008000"/>
                <w:w w:val="92"/>
                <w:vertAlign w:val="superscript"/>
              </w:rPr>
              <w:t>(6)</w:t>
            </w: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60"/>
              <w:spacing w:after="0"/>
              <w:rPr>
                <w:sz w:val="20"/>
                <w:szCs w:val="20"/>
                <w:color w:val="auto"/>
              </w:rPr>
            </w:pPr>
            <w:r>
              <w:rPr>
                <w:rFonts w:ascii="Times New Roman" w:cs="Times New Roman" w:eastAsia="Times New Roman" w:hAnsi="Times New Roman"/>
                <w:sz w:val="17"/>
                <w:szCs w:val="17"/>
                <w:color w:val="0000FF"/>
              </w:rPr>
              <w:t>499,080</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17"/>
                <w:szCs w:val="17"/>
                <w:color w:val="0000FF"/>
              </w:rPr>
              <w:t>By Trust</w:t>
            </w:r>
            <w:r>
              <w:rPr>
                <w:rFonts w:ascii="Times New Roman" w:cs="Times New Roman" w:eastAsia="Times New Roman" w:hAnsi="Times New Roman"/>
                <w:sz w:val="22"/>
                <w:szCs w:val="22"/>
                <w:color w:val="008000"/>
                <w:vertAlign w:val="superscript"/>
              </w:rPr>
              <w:t>(4)</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48"/>
              <w:spacing w:after="0"/>
              <w:rPr>
                <w:sz w:val="20"/>
                <w:szCs w:val="20"/>
                <w:color w:val="auto"/>
              </w:rPr>
            </w:pPr>
            <w:r>
              <w:rPr>
                <w:rFonts w:ascii="Times New Roman" w:cs="Times New Roman" w:eastAsia="Times New Roman" w:hAnsi="Times New Roman"/>
                <w:sz w:val="17"/>
                <w:szCs w:val="17"/>
                <w:color w:val="0000FF"/>
              </w:rPr>
              <w:t>12/15/2025</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2,184</w:t>
            </w:r>
          </w:p>
        </w:tc>
        <w:tc>
          <w:tcPr>
            <w:tcW w:w="360" w:type="dxa"/>
            <w:vAlign w:val="bottom"/>
            <w:tcBorders>
              <w:bottom w:val="single" w:sz="8" w:color="2C2C2C"/>
            </w:tcBorders>
          </w:tcPr>
          <w:p>
            <w:pPr>
              <w:jc w:val="center"/>
              <w:ind w:left="61"/>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ind w:left="92"/>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420.04</w:t>
            </w:r>
            <w:r>
              <w:rPr>
                <w:rFonts w:ascii="Times New Roman" w:cs="Times New Roman" w:eastAsia="Times New Roman" w:hAnsi="Times New Roman"/>
                <w:sz w:val="22"/>
                <w:szCs w:val="22"/>
                <w:color w:val="008000"/>
                <w:w w:val="95"/>
                <w:vertAlign w:val="superscript"/>
              </w:rPr>
              <w:t>(7)</w:t>
            </w: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60"/>
              <w:spacing w:after="0"/>
              <w:rPr>
                <w:sz w:val="20"/>
                <w:szCs w:val="20"/>
                <w:color w:val="auto"/>
              </w:rPr>
            </w:pPr>
            <w:r>
              <w:rPr>
                <w:rFonts w:ascii="Times New Roman" w:cs="Times New Roman" w:eastAsia="Times New Roman" w:hAnsi="Times New Roman"/>
                <w:sz w:val="17"/>
                <w:szCs w:val="17"/>
                <w:color w:val="0000FF"/>
              </w:rPr>
              <w:t>496,896</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17"/>
                <w:szCs w:val="17"/>
                <w:color w:val="0000FF"/>
              </w:rPr>
              <w:t>By Trust</w:t>
            </w:r>
            <w:r>
              <w:rPr>
                <w:rFonts w:ascii="Times New Roman" w:cs="Times New Roman" w:eastAsia="Times New Roman" w:hAnsi="Times New Roman"/>
                <w:sz w:val="22"/>
                <w:szCs w:val="22"/>
                <w:color w:val="008000"/>
                <w:vertAlign w:val="superscript"/>
              </w:rPr>
              <w:t>(4)</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Dwight 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83,845</w:t>
            </w:r>
          </w:p>
        </w:tc>
        <w:tc>
          <w:tcPr>
            <w:tcW w:w="320" w:type="dxa"/>
            <w:vAlign w:val="bottom"/>
          </w:tcPr>
          <w:p>
            <w:pPr>
              <w:spacing w:after="0"/>
              <w:rPr>
                <w:sz w:val="18"/>
                <w:szCs w:val="18"/>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Merriman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Charitable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4"/>
          </w:tcPr>
          <w:p>
            <w:pPr>
              <w:ind w:left="20"/>
              <w:spacing w:after="0"/>
              <w:rPr>
                <w:sz w:val="20"/>
                <w:szCs w:val="20"/>
                <w:color w:val="auto"/>
              </w:rPr>
            </w:pPr>
            <w:r>
              <w:rPr>
                <w:rFonts w:ascii="Times New Roman" w:cs="Times New Roman" w:eastAsia="Times New Roman" w:hAnsi="Times New Roman"/>
                <w:sz w:val="17"/>
                <w:szCs w:val="17"/>
                <w:color w:val="0000FF"/>
              </w:rPr>
              <w:t>Foundation</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520" w:type="dxa"/>
            <w:vAlign w:val="bottom"/>
            <w:gridSpan w:val="15"/>
          </w:tcPr>
          <w:p>
            <w:pPr>
              <w:jc w:val="center"/>
              <w:ind w:left="41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jc w:val="center"/>
              <w:ind w:left="42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9. Number of</w:t>
            </w:r>
          </w:p>
        </w:tc>
        <w:tc>
          <w:tcPr>
            <w:tcW w:w="580" w:type="dxa"/>
            <w:vAlign w:val="bottom"/>
          </w:tcPr>
          <w:p>
            <w:pPr>
              <w:ind w:left="24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3"/>
              </w:rPr>
              <w:t>Form:</w:t>
            </w:r>
          </w:p>
        </w:tc>
        <w:tc>
          <w:tcPr>
            <w:tcW w:w="3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20" w:type="dxa"/>
            <w:vAlign w:val="bottom"/>
          </w:tcPr>
          <w:p>
            <w:pPr>
              <w:spacing w:after="0"/>
              <w:rPr>
                <w:sz w:val="11"/>
                <w:szCs w:val="11"/>
                <w:color w:val="auto"/>
              </w:rPr>
            </w:pPr>
          </w:p>
        </w:tc>
        <w:tc>
          <w:tcPr>
            <w:tcW w:w="92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jc w:val="right"/>
              <w:ind w:right="41"/>
              <w:spacing w:after="0" w:line="133" w:lineRule="exact"/>
              <w:rPr>
                <w:sz w:val="20"/>
                <w:szCs w:val="20"/>
                <w:color w:val="auto"/>
              </w:rPr>
            </w:pPr>
            <w:r>
              <w:rPr>
                <w:rFonts w:ascii="Arial" w:cs="Arial" w:eastAsia="Arial" w:hAnsi="Arial"/>
                <w:sz w:val="12"/>
                <w:szCs w:val="12"/>
                <w:b w:val="1"/>
                <w:bCs w:val="1"/>
                <w:color w:val="auto"/>
              </w:rPr>
              <w:t>Expiration</w:t>
            </w: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were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jc w:val="both"/>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sales price. The shares were sold in multiple transactions at prices ranging from $417.31 to $418.00, inclusive. The Reporting Person undertakes to provide to the Issuer, any security holder of the Issuer or the staff of the Securities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sales price. The shares were sold in multiple transactions at prices ranging from $416.70 to $417.70, inclusive. The Reporting Person undertakes to provide to the Issuer, any security holder of the Issuer or the staff of the Securities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The Dwight A. Merriman 2012 Trust for the benefit of the Reporting Person's children.</w:t>
      </w:r>
    </w:p>
    <w:p>
      <w:pPr>
        <w:spacing w:after="0" w:line="50" w:lineRule="exact"/>
        <w:rPr>
          <w:rFonts w:ascii="Times New Roman" w:cs="Times New Roman" w:eastAsia="Times New Roman" w:hAnsi="Times New Roman"/>
          <w:sz w:val="13"/>
          <w:szCs w:val="13"/>
          <w:color w:val="008000"/>
        </w:rPr>
      </w:pPr>
    </w:p>
    <w:p>
      <w:pPr>
        <w:jc w:val="both"/>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sales price. The shares were sold in multiple transactions at prices ranging from $418.01 to $419.01, inclusive. The Reporting Person undertakes to provide to the Issuer, any security holder of the Issuer or the staff of the Securities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sales price. The shares were sold in multiple transactions at prices ranging from $419.02 to $420.02, inclusive. The Reporting Person undertakes to provide to the Issuer, any security holder of the Issuer or the staff of the Securities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sales price. The shares were sold in multiple transactions at prices ranging from $420.03 to $421.03, inclusive. The Reporting Person undertakes to provide to the Issuer, any security holder of the Issuer or the staff of the Securities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Dwight A. Merriman Charitable Foundation is a Delaware nonstock nonprofit corporation. The Reporting Person is deemed to have voting and investment power over the shares of MongoDB, Inc. Common Stock held by the Dwight A. Merriman Charitable Foundation, but has no pecuniary interest in these shares.</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Remarks:</w:t>
      </w:r>
    </w:p>
    <w:p>
      <w:pPr>
        <w:ind w:left="6540"/>
        <w:spacing w:after="0" w:line="227" w:lineRule="auto"/>
        <w:rPr>
          <w:sz w:val="20"/>
          <w:szCs w:val="20"/>
          <w:color w:val="auto"/>
        </w:rPr>
      </w:pPr>
      <w:r>
        <w:rPr>
          <w:rFonts w:ascii="Times New Roman" w:cs="Times New Roman" w:eastAsia="Times New Roman" w:hAnsi="Times New Roman"/>
          <w:sz w:val="17"/>
          <w:szCs w:val="17"/>
          <w:color w:val="0000FF"/>
        </w:rPr>
        <w:t xml:space="preserve">/s/ Paul Johnston, Attorney-in- </w:t>
      </w:r>
      <w:r>
        <w:rPr>
          <w:rFonts w:ascii="Times New Roman" w:cs="Times New Roman" w:eastAsia="Times New Roman" w:hAnsi="Times New Roman"/>
          <w:sz w:val="34"/>
          <w:szCs w:val="34"/>
          <w:color w:val="0000FF"/>
          <w:vertAlign w:val="subscript"/>
        </w:rPr>
        <w:t>12/16/2025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-27305</wp:posOffset>
            </wp:positionV>
            <wp:extent cx="13506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06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37858" TargetMode="External"/><Relationship Id="rId14" Type="http://schemas.openxmlformats.org/officeDocument/2006/relationships/hyperlink" Target="http://www.sec.gov/cgi-bin/browse-edgar?action=getcompany&amp;CIK=00014418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2025-12-16T15:26:17Z</dcterms:created>
  <dcterms:modified xsi:type="dcterms:W3CDTF">2025-12-16T15:26:17Z</dcterms:modified>
</cp:coreProperties>
</file>