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Information Statement Pursuant to Rules 13d-1 and 13d-2</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1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MongoDB,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60937P106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w w:val="92"/>
              </w:rPr>
              <w:t>CUSIP No. 60937P106</w:t>
            </w:r>
          </w:p>
        </w:tc>
        <w:tc>
          <w:tcPr>
            <w:tcW w:w="7200" w:type="dxa"/>
            <w:vAlign w:val="bottom"/>
          </w:tcPr>
          <w:p>
            <w:pPr>
              <w:ind w:left="3400"/>
              <w:spacing w:after="0"/>
              <w:rPr>
                <w:sz w:val="20"/>
                <w:szCs w:val="20"/>
                <w:color w:val="auto"/>
              </w:rPr>
            </w:pPr>
            <w:r>
              <w:rPr>
                <w:rFonts w:ascii="Arial" w:cs="Arial" w:eastAsia="Arial" w:hAnsi="Arial"/>
                <w:sz w:val="18"/>
                <w:szCs w:val="18"/>
                <w:color w:val="auto"/>
              </w:rPr>
              <w:t>SCHEDULE 13G</w:t>
            </w:r>
          </w:p>
        </w:tc>
        <w:tc>
          <w:tcPr>
            <w:tcW w:w="2500" w:type="dxa"/>
            <w:vAlign w:val="bottom"/>
          </w:tcPr>
          <w:p>
            <w:pPr>
              <w:ind w:left="1120"/>
              <w:spacing w:after="0"/>
              <w:rPr>
                <w:sz w:val="20"/>
                <w:szCs w:val="20"/>
                <w:color w:val="auto"/>
              </w:rPr>
            </w:pPr>
            <w:r>
              <w:rPr>
                <w:rFonts w:ascii="Arial" w:cs="Arial" w:eastAsia="Arial" w:hAnsi="Arial"/>
                <w:sz w:val="18"/>
                <w:szCs w:val="18"/>
                <w:color w:val="auto"/>
                <w:w w:val="84"/>
              </w:rPr>
              <w:t>Page 2 of 12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60" w:type="dxa"/>
            <w:vAlign w:val="bottom"/>
            <w:tcBorders>
              <w:bottom w:val="single" w:sz="8" w:color="auto"/>
            </w:tcBorders>
            <w:gridSpan w:val="5"/>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SEQUOIA CAPITAL U.S. GROWTH FUND IV, L.P. (“SC USGF IV”)</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2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2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260" w:type="dxa"/>
            <w:vAlign w:val="bottom"/>
            <w:tcBorders>
              <w:bottom w:val="single" w:sz="8" w:color="auto"/>
            </w:tcBorders>
            <w:gridSpan w:val="5"/>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60" w:type="dxa"/>
            <w:vAlign w:val="bottom"/>
            <w:tcBorders>
              <w:bottom w:val="single" w:sz="8" w:color="auto"/>
            </w:tcBorders>
            <w:gridSpan w:val="5"/>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CAYMAN ISLANDS</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3,387,282</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20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0</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200" w:type="dxa"/>
            <w:vAlign w:val="bottom"/>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3,387,282</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726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3,387,282</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26.6%</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12 Pages</w:t>
      </w:r>
    </w:p>
    <w:p>
      <w:pPr>
        <w:spacing w:after="0" w:line="144"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2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SEQUOIA CAPITAL USGF PRINCIPALS FUND IV, L.P. (“SC USGF PF IV”)</w:t>
      </w:r>
    </w:p>
    <w:p>
      <w:pPr>
        <w:spacing w:after="0" w:line="36" w:lineRule="exact"/>
        <w:rPr>
          <w:sz w:val="20"/>
          <w:szCs w:val="20"/>
          <w:color w:val="auto"/>
        </w:rPr>
      </w:pPr>
    </w:p>
    <w:p>
      <w:pPr>
        <w:ind w:left="780" w:hanging="52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149,240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149,240</w:t>
      </w:r>
    </w:p>
    <w:p>
      <w:pPr>
        <w:spacing w:after="0" w:line="36" w:lineRule="exact"/>
        <w:rPr>
          <w:sz w:val="20"/>
          <w:szCs w:val="20"/>
          <w:color w:val="auto"/>
        </w:rPr>
      </w:pPr>
    </w:p>
    <w:p>
      <w:pPr>
        <w:ind w:left="780" w:hanging="52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149,240</w:t>
      </w:r>
    </w:p>
    <w:p>
      <w:pPr>
        <w:spacing w:after="0" w:line="36" w:lineRule="exact"/>
        <w:rPr>
          <w:sz w:val="20"/>
          <w:szCs w:val="20"/>
          <w:color w:val="auto"/>
        </w:rPr>
      </w:pPr>
    </w:p>
    <w:p>
      <w:pPr>
        <w:ind w:left="780" w:hanging="615"/>
        <w:spacing w:after="0"/>
        <w:tabs>
          <w:tab w:leader="none" w:pos="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12 Pages</w:t>
      </w:r>
    </w:p>
    <w:p>
      <w:pPr>
        <w:spacing w:after="0" w:line="144" w:lineRule="exact"/>
        <w:rPr>
          <w:sz w:val="20"/>
          <w:szCs w:val="20"/>
          <w:color w:val="auto"/>
        </w:rPr>
      </w:pPr>
    </w:p>
    <w:p>
      <w:pPr>
        <w:ind w:left="780" w:hanging="52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77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577151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SCGF IV MANAGEMENT, L.P. (“SCGF IV MGMT”)</w:t>
      </w:r>
    </w:p>
    <w:p>
      <w:pPr>
        <w:spacing w:after="0" w:line="36" w:lineRule="exact"/>
        <w:rPr>
          <w:sz w:val="20"/>
          <w:szCs w:val="20"/>
          <w:color w:val="auto"/>
        </w:rPr>
      </w:pPr>
    </w:p>
    <w:p>
      <w:pPr>
        <w:ind w:left="780" w:hanging="525"/>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540"/>
        <w:spacing w:after="0"/>
        <w:tabs>
          <w:tab w:leader="none" w:pos="1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8"/>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19"/>
                <w:szCs w:val="19"/>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w w:val="93"/>
              </w:rPr>
              <w:t>3,536,522 shares, of which 3,387,282 shares of Class B common stock are directly owned by SC USGF IV and 149,240 shares of</w:t>
            </w: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7"/>
                <w:szCs w:val="17"/>
                <w:color w:val="auto"/>
              </w:rPr>
            </w:pPr>
          </w:p>
        </w:tc>
        <w:tc>
          <w:tcPr>
            <w:tcW w:w="9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2"/>
              </w:rPr>
              <w:t>Class B common stock are directly owned by SC USGF PF IV. SCGF IV MGMT is the General Partner of each of SC USGF IV and</w:t>
            </w:r>
          </w:p>
        </w:tc>
        <w:tc>
          <w:tcPr>
            <w:tcW w:w="0" w:type="dxa"/>
            <w:vAlign w:val="bottom"/>
          </w:tcPr>
          <w:p>
            <w:pPr>
              <w:spacing w:after="0"/>
              <w:rPr>
                <w:sz w:val="1"/>
                <w:szCs w:val="1"/>
                <w:color w:val="auto"/>
              </w:rPr>
            </w:pPr>
          </w:p>
        </w:tc>
      </w:tr>
      <w:tr>
        <w:trPr>
          <w:trHeight w:val="244"/>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1"/>
                <w:szCs w:val="21"/>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SC USGF PF IV.</w:t>
            </w: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right="100"/>
        <w:spacing w:after="0" w:line="260" w:lineRule="auto"/>
        <w:rPr>
          <w:sz w:val="20"/>
          <w:szCs w:val="20"/>
          <w:color w:val="auto"/>
        </w:rPr>
      </w:pPr>
      <w:r>
        <w:rPr>
          <w:rFonts w:ascii="Arial" w:cs="Arial" w:eastAsia="Arial" w:hAnsi="Arial"/>
          <w:sz w:val="18"/>
          <w:szCs w:val="18"/>
          <w:color w:val="auto"/>
        </w:rPr>
        <w:t>3,536,522 shares, of which 3,387,282 shares of Class B common stock are directly owned by SC USGF IV and 149,240 shares of Class B common stock are directly owned by SC USGF PF IV. SCGF IV MGMT is the General Partner of each of SC USGF IV and SC USGF PF IV.</w:t>
      </w:r>
    </w:p>
    <w:p>
      <w:pPr>
        <w:spacing w:after="0" w:line="3" w:lineRule="exact"/>
        <w:rPr>
          <w:sz w:val="20"/>
          <w:szCs w:val="20"/>
          <w:color w:val="auto"/>
        </w:rPr>
      </w:pPr>
    </w:p>
    <w:p>
      <w:pPr>
        <w:ind w:left="780" w:hanging="525"/>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3,536,522</w:t>
      </w:r>
    </w:p>
    <w:p>
      <w:pPr>
        <w:spacing w:after="0" w:line="36" w:lineRule="exact"/>
        <w:rPr>
          <w:sz w:val="20"/>
          <w:szCs w:val="20"/>
          <w:color w:val="auto"/>
        </w:rPr>
      </w:pPr>
    </w:p>
    <w:p>
      <w:pPr>
        <w:ind w:left="780" w:hanging="615"/>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27.5%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12 Pages</w:t>
      </w:r>
    </w:p>
    <w:p>
      <w:pPr>
        <w:spacing w:after="0" w:line="144" w:lineRule="exact"/>
        <w:rPr>
          <w:sz w:val="20"/>
          <w:szCs w:val="20"/>
          <w:color w:val="auto"/>
        </w:rPr>
      </w:pPr>
    </w:p>
    <w:p>
      <w:pPr>
        <w:ind w:left="780" w:hanging="525"/>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2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SEQUOIA CAPITAL U.S. VENTURE 2010 PARTNERS FUND (Q), LP (“SC USV 2010 PFQ”)</w:t>
      </w:r>
    </w:p>
    <w:p>
      <w:pPr>
        <w:spacing w:after="0" w:line="36" w:lineRule="exact"/>
        <w:rPr>
          <w:sz w:val="20"/>
          <w:szCs w:val="20"/>
          <w:color w:val="auto"/>
        </w:rPr>
      </w:pPr>
    </w:p>
    <w:p>
      <w:pPr>
        <w:ind w:left="780" w:hanging="525"/>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327,158</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327,158</w:t>
      </w:r>
    </w:p>
    <w:p>
      <w:pPr>
        <w:spacing w:after="0" w:line="36" w:lineRule="exact"/>
        <w:rPr>
          <w:sz w:val="20"/>
          <w:szCs w:val="20"/>
          <w:color w:val="auto"/>
        </w:rPr>
      </w:pPr>
    </w:p>
    <w:p>
      <w:pPr>
        <w:ind w:left="780" w:hanging="525"/>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327,158</w:t>
      </w:r>
    </w:p>
    <w:p>
      <w:pPr>
        <w:spacing w:after="0" w:line="36" w:lineRule="exact"/>
        <w:rPr>
          <w:sz w:val="20"/>
          <w:szCs w:val="20"/>
          <w:color w:val="auto"/>
        </w:rPr>
      </w:pPr>
    </w:p>
    <w:p>
      <w:pPr>
        <w:ind w:left="780" w:hanging="615"/>
        <w:spacing w:after="0"/>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3.4%</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12 Pages</w:t>
      </w:r>
    </w:p>
    <w:p>
      <w:pPr>
        <w:spacing w:after="0" w:line="144" w:lineRule="exact"/>
        <w:rPr>
          <w:sz w:val="20"/>
          <w:szCs w:val="20"/>
          <w:color w:val="auto"/>
        </w:rPr>
      </w:pPr>
    </w:p>
    <w:p>
      <w:pPr>
        <w:ind w:left="780" w:hanging="525"/>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2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SEQUOIA CAPITAL U.S. VENTURE 2010 PARTNERS FUND, LP (“SC USV 2010 PF”)</w:t>
      </w:r>
    </w:p>
    <w:p>
      <w:pPr>
        <w:spacing w:after="0" w:line="36" w:lineRule="exact"/>
        <w:rPr>
          <w:sz w:val="20"/>
          <w:szCs w:val="20"/>
          <w:color w:val="auto"/>
        </w:rPr>
      </w:pPr>
    </w:p>
    <w:p>
      <w:pPr>
        <w:ind w:left="780" w:hanging="525"/>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66,057</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66,057</w:t>
      </w:r>
    </w:p>
    <w:p>
      <w:pPr>
        <w:spacing w:after="0" w:line="36" w:lineRule="exact"/>
        <w:rPr>
          <w:sz w:val="20"/>
          <w:szCs w:val="20"/>
          <w:color w:val="auto"/>
        </w:rPr>
      </w:pPr>
    </w:p>
    <w:p>
      <w:pPr>
        <w:ind w:left="780" w:hanging="525"/>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66,057</w:t>
      </w:r>
    </w:p>
    <w:p>
      <w:pPr>
        <w:spacing w:after="0" w:line="36" w:lineRule="exact"/>
        <w:rPr>
          <w:sz w:val="20"/>
          <w:szCs w:val="20"/>
          <w:color w:val="auto"/>
        </w:rPr>
      </w:pPr>
    </w:p>
    <w:p>
      <w:pPr>
        <w:ind w:left="780" w:hanging="615"/>
        <w:spacing w:after="0"/>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w w:val="92"/>
              </w:rPr>
              <w:t>CUSIP No. 60937P106</w:t>
            </w:r>
          </w:p>
        </w:tc>
        <w:tc>
          <w:tcPr>
            <w:tcW w:w="7200" w:type="dxa"/>
            <w:vAlign w:val="bottom"/>
          </w:tcPr>
          <w:p>
            <w:pPr>
              <w:ind w:left="3400"/>
              <w:spacing w:after="0"/>
              <w:rPr>
                <w:sz w:val="20"/>
                <w:szCs w:val="20"/>
                <w:color w:val="auto"/>
              </w:rPr>
            </w:pPr>
            <w:r>
              <w:rPr>
                <w:rFonts w:ascii="Arial" w:cs="Arial" w:eastAsia="Arial" w:hAnsi="Arial"/>
                <w:sz w:val="18"/>
                <w:szCs w:val="18"/>
                <w:color w:val="auto"/>
              </w:rPr>
              <w:t>SCHEDULE 13G</w:t>
            </w:r>
          </w:p>
        </w:tc>
        <w:tc>
          <w:tcPr>
            <w:tcW w:w="2500" w:type="dxa"/>
            <w:vAlign w:val="bottom"/>
          </w:tcPr>
          <w:p>
            <w:pPr>
              <w:ind w:left="1120"/>
              <w:spacing w:after="0"/>
              <w:rPr>
                <w:sz w:val="20"/>
                <w:szCs w:val="20"/>
                <w:color w:val="auto"/>
              </w:rPr>
            </w:pPr>
            <w:r>
              <w:rPr>
                <w:rFonts w:ascii="Arial" w:cs="Arial" w:eastAsia="Arial" w:hAnsi="Arial"/>
                <w:sz w:val="18"/>
                <w:szCs w:val="18"/>
                <w:color w:val="auto"/>
                <w:w w:val="84"/>
              </w:rPr>
              <w:t>Page 7 of 12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60" w:type="dxa"/>
            <w:vAlign w:val="bottom"/>
            <w:tcBorders>
              <w:bottom w:val="single" w:sz="8" w:color="auto"/>
            </w:tcBorders>
            <w:gridSpan w:val="5"/>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SEQUOIA CAPITAL U.S. VENTURE 2010 FUND, LP (“SC USV 2010”)</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2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2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260" w:type="dxa"/>
            <w:vAlign w:val="bottom"/>
            <w:tcBorders>
              <w:bottom w:val="single" w:sz="8" w:color="auto"/>
            </w:tcBorders>
            <w:gridSpan w:val="5"/>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60" w:type="dxa"/>
            <w:vAlign w:val="bottom"/>
            <w:tcBorders>
              <w:bottom w:val="single" w:sz="8" w:color="auto"/>
            </w:tcBorders>
            <w:gridSpan w:val="5"/>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CAYMAN ISLANDS</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2,977,085</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20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Arial" w:cs="Arial" w:eastAsia="Arial" w:hAnsi="Arial"/>
                <w:sz w:val="18"/>
                <w:szCs w:val="18"/>
                <w:color w:val="auto"/>
              </w:rPr>
              <w:t>0</w:t>
            </w:r>
          </w:p>
        </w:tc>
        <w:tc>
          <w:tcPr>
            <w:tcW w:w="2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200" w:type="dxa"/>
            <w:vAlign w:val="bottom"/>
            <w:vMerge w:val="continue"/>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2,977,085</w:t>
            </w: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726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2,977,085</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24.2%</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2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ectPr>
          <w:pgSz w:w="11900" w:h="16838" w:orient="portrait"/>
          <w:cols w:equalWidth="0" w:num="1">
            <w:col w:w="11440"/>
          </w:cols>
          <w:pgMar w:left="240" w:top="274" w:right="219" w:bottom="1440" w:gutter="0" w:footer="0" w:header="0"/>
        </w:sectPr>
      </w:pPr>
    </w:p>
    <w:bookmarkStart w:id="7" w:name="page8"/>
    <w:bookmarkEnd w:id="7"/>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12 Pages</w:t>
      </w:r>
    </w:p>
    <w:p>
      <w:pPr>
        <w:spacing w:after="0" w:line="144" w:lineRule="exact"/>
        <w:rPr>
          <w:sz w:val="20"/>
          <w:szCs w:val="20"/>
          <w:color w:val="auto"/>
        </w:rPr>
      </w:pPr>
    </w:p>
    <w:p>
      <w:pPr>
        <w:ind w:left="780" w:hanging="525"/>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77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5771515"/>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 U.S. VENTURE 2010 MANAGEMENT, L.P. (“SC USV 2010 MGMT”)</w:t>
      </w:r>
    </w:p>
    <w:p>
      <w:pPr>
        <w:spacing w:after="0" w:line="36" w:lineRule="exact"/>
        <w:rPr>
          <w:sz w:val="20"/>
          <w:szCs w:val="20"/>
          <w:color w:val="auto"/>
        </w:rPr>
      </w:pPr>
    </w:p>
    <w:p>
      <w:pPr>
        <w:ind w:left="780" w:hanging="525"/>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540"/>
        <w:spacing w:after="0"/>
        <w:tabs>
          <w:tab w:leader="none" w:pos="1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8"/>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19"/>
                <w:szCs w:val="19"/>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w w:val="90"/>
              </w:rPr>
              <w:t>3,370,300 shares, of which 2,977,085 shares of Class B common stock are directly owned by SC USV 2010, 327,158 shares of Class</w:t>
            </w: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7"/>
                <w:szCs w:val="17"/>
                <w:color w:val="auto"/>
              </w:rPr>
            </w:pPr>
          </w:p>
        </w:tc>
        <w:tc>
          <w:tcPr>
            <w:tcW w:w="9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2"/>
              </w:rPr>
              <w:t>B common stock are directly owned by SC USV 2010 PFQ, and 66,057 shares of Class B common stock are directly owned by SC</w:t>
            </w:r>
          </w:p>
        </w:tc>
        <w:tc>
          <w:tcPr>
            <w:tcW w:w="0" w:type="dxa"/>
            <w:vAlign w:val="bottom"/>
          </w:tcPr>
          <w:p>
            <w:pPr>
              <w:spacing w:after="0"/>
              <w:rPr>
                <w:sz w:val="1"/>
                <w:szCs w:val="1"/>
                <w:color w:val="auto"/>
              </w:rPr>
            </w:pPr>
          </w:p>
        </w:tc>
      </w:tr>
      <w:tr>
        <w:trPr>
          <w:trHeight w:val="244"/>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1"/>
                <w:szCs w:val="21"/>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4"/>
              </w:rPr>
              <w:t>USV 2010 PF. SC USV 2010 MGMT is the General Partner of each of SC USV 2010 PFQ, SC USV 2010 PF and SC USV 2010.</w:t>
            </w: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right="80"/>
        <w:spacing w:after="0" w:line="293" w:lineRule="auto"/>
        <w:rPr>
          <w:sz w:val="20"/>
          <w:szCs w:val="20"/>
          <w:color w:val="auto"/>
        </w:rPr>
      </w:pPr>
      <w:r>
        <w:rPr>
          <w:rFonts w:ascii="Arial" w:cs="Arial" w:eastAsia="Arial" w:hAnsi="Arial"/>
          <w:sz w:val="16"/>
          <w:szCs w:val="16"/>
          <w:color w:val="auto"/>
        </w:rPr>
        <w:t>3,370,300 shares, of which 2,977,085 shares of Class B common stock are directly owned by SC USV 2010, 327,158 shares of Class B common stock are directly owned by SC USV 2010 PFQ, and 66,057 shares of Class B common stock are directly owned by SC USV 2010 PF. SC USV 2010 MGMT is the General Partner of each of SC USV 2010 PFQ, SC USV 2010 PF and SC USV 2010.</w:t>
      </w:r>
    </w:p>
    <w:p>
      <w:pPr>
        <w:spacing w:after="0" w:line="1" w:lineRule="exact"/>
        <w:rPr>
          <w:sz w:val="20"/>
          <w:szCs w:val="20"/>
          <w:color w:val="auto"/>
        </w:rPr>
      </w:pPr>
    </w:p>
    <w:p>
      <w:pPr>
        <w:ind w:left="780" w:hanging="525"/>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3,370,300</w:t>
      </w:r>
    </w:p>
    <w:p>
      <w:pPr>
        <w:spacing w:after="0" w:line="36" w:lineRule="exact"/>
        <w:rPr>
          <w:sz w:val="20"/>
          <w:szCs w:val="20"/>
          <w:color w:val="auto"/>
        </w:rPr>
      </w:pPr>
    </w:p>
    <w:p>
      <w:pPr>
        <w:ind w:left="780" w:hanging="615"/>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26.5%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8" w:name="page9"/>
    <w:bookmarkEnd w:id="8"/>
    <w:p>
      <w:pPr>
        <w:spacing w:after="0"/>
        <w:tabs>
          <w:tab w:leader="none" w:pos="512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12 Pages</w:t>
      </w:r>
    </w:p>
    <w:p>
      <w:pPr>
        <w:spacing w:after="0" w:line="144" w:lineRule="exact"/>
        <w:rPr>
          <w:sz w:val="20"/>
          <w:szCs w:val="20"/>
          <w:color w:val="auto"/>
        </w:rPr>
      </w:pPr>
    </w:p>
    <w:p>
      <w:pPr>
        <w:ind w:left="780" w:hanging="525"/>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59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6595110"/>
                    </a:xfrm>
                    <a:prstGeom prst="rect">
                      <a:avLst/>
                    </a:prstGeom>
                    <a:noFill/>
                  </pic:spPr>
                </pic:pic>
              </a:graphicData>
            </a:graphic>
          </wp:anchor>
        </w:drawing>
      </w:r>
    </w:p>
    <w:p>
      <w:pPr>
        <w:spacing w:after="0" w:line="2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 US (TTGP), LTD. (“SC US TTGP”)</w:t>
      </w:r>
    </w:p>
    <w:p>
      <w:pPr>
        <w:spacing w:after="0" w:line="36" w:lineRule="exact"/>
        <w:rPr>
          <w:sz w:val="20"/>
          <w:szCs w:val="20"/>
          <w:color w:val="auto"/>
        </w:rPr>
      </w:pPr>
    </w:p>
    <w:p>
      <w:pPr>
        <w:ind w:left="780" w:hanging="525"/>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540"/>
        <w:spacing w:after="0"/>
        <w:tabs>
          <w:tab w:leader="none" w:pos="1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0"/>
              </w:rPr>
              <w:t>6,906,822 shares, of which 2,977,085 shares of Class B common stock are directly owned by SC USV 2010, 327,158 shares of Class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2"/>
              </w:rPr>
              <w:t>B common stock are directly owned by SC USV 2010 PFQ, 66,057 shares of Class B common stock are directly owned by SC USV</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3"/>
              </w:rPr>
              <w:t>2010 PF, 3,387,282 shares of Class B common stock are directly owned by SC USGF IV and 149,240 shares of Class B common</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3"/>
              </w:rPr>
              <w:t>stock are directly owned by SC USGF PF IV. SC USV 2010 MGMT is the General Partner of each of SC USV 2010 PFQ, SC USV</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w w:val="92"/>
              </w:rPr>
              <w:t>2010 PF and SC USV 2010. SCGF IV MGMT is the General Partner of each of SC USGF IV and SC USGF PF IV. SC US TTGP is</w:t>
            </w:r>
          </w:p>
        </w:tc>
        <w:tc>
          <w:tcPr>
            <w:tcW w:w="0" w:type="dxa"/>
            <w:vAlign w:val="bottom"/>
          </w:tcPr>
          <w:p>
            <w:pPr>
              <w:spacing w:after="0"/>
              <w:rPr>
                <w:sz w:val="1"/>
                <w:szCs w:val="1"/>
                <w:color w:val="auto"/>
              </w:rPr>
            </w:pPr>
          </w:p>
        </w:tc>
      </w:tr>
      <w:tr>
        <w:trPr>
          <w:trHeight w:val="244"/>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1"/>
                <w:szCs w:val="21"/>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the General Partner of each of SCGF IV MGMT and SC USV 2010 MGMT.</w:t>
            </w: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right="80"/>
        <w:spacing w:after="0" w:line="270" w:lineRule="auto"/>
        <w:rPr>
          <w:sz w:val="20"/>
          <w:szCs w:val="20"/>
          <w:color w:val="auto"/>
        </w:rPr>
      </w:pPr>
      <w:r>
        <w:rPr>
          <w:rFonts w:ascii="Arial" w:cs="Arial" w:eastAsia="Arial" w:hAnsi="Arial"/>
          <w:sz w:val="17"/>
          <w:szCs w:val="17"/>
          <w:color w:val="auto"/>
        </w:rPr>
        <w:t>6,906,822 shares, of which 2,977,085 shares of Class B common stock are directly owned by SC USV 2010, 327,158 shares of Class B common stock are directly owned by SC USV 2010 PFQ, 66,057 shares of Class B common stock are directly owned by SC USV 2010 PF; 3,387,282 shares of Class B common stock are directly owned by SC USGF IV and 149,240 shares of Class B common stock are directly owned by SC USGF PF IV. SC USV 2010 MGMT is the General Partner of each of SC USV 2010 PFQ, SC USV 2010 PF and SC USV 2010. SCGF IV MGMT is the General Partner of each of SC USGF IV and SC USGF PF IV. SC US TTGP is the General Partner of each of SCGF IV MGMT and SC USV 2010 MGMT.</w:t>
      </w:r>
    </w:p>
    <w:p>
      <w:pPr>
        <w:spacing w:after="0" w:line="4" w:lineRule="exact"/>
        <w:rPr>
          <w:sz w:val="20"/>
          <w:szCs w:val="20"/>
          <w:color w:val="auto"/>
        </w:rPr>
      </w:pPr>
    </w:p>
    <w:p>
      <w:pPr>
        <w:ind w:left="780" w:hanging="525"/>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6,906,822</w:t>
      </w:r>
    </w:p>
    <w:p>
      <w:pPr>
        <w:spacing w:after="0" w:line="36" w:lineRule="exact"/>
        <w:rPr>
          <w:sz w:val="20"/>
          <w:szCs w:val="20"/>
          <w:color w:val="auto"/>
        </w:rPr>
      </w:pPr>
    </w:p>
    <w:p>
      <w:pPr>
        <w:ind w:left="780" w:hanging="615"/>
        <w:spacing w:after="0"/>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720" w:hanging="615"/>
        <w:spacing w:after="0" w:line="402"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9 42.5%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right="8160" w:hanging="615"/>
        <w:spacing w:after="0" w:line="516"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1" w:lineRule="exact"/>
        <w:rPr>
          <w:rFonts w:ascii="Arial" w:cs="Arial" w:eastAsia="Arial" w:hAnsi="Arial"/>
          <w:sz w:val="18"/>
          <w:szCs w:val="18"/>
          <w:color w:val="auto"/>
        </w:rPr>
      </w:pPr>
    </w:p>
    <w:p>
      <w:pPr>
        <w:ind w:left="460" w:right="3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9,326,098 shares of Class A common stock outstanding as of December 11, 2017, as reported in the Issuer’s Quarterly Report on Form 10-Q filed with the Securities and Exchange Commission on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9" w:name="page10"/>
    <w:bookmarkEnd w:id="9"/>
    <w:p>
      <w:pPr>
        <w:spacing w:after="0"/>
        <w:tabs>
          <w:tab w:leader="none" w:pos="512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12 Pages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31" w:lineRule="exact"/>
        <w:rPr>
          <w:sz w:val="20"/>
          <w:szCs w:val="20"/>
          <w:color w:val="auto"/>
        </w:rPr>
      </w:pPr>
    </w:p>
    <w:p>
      <w:pPr>
        <w:ind w:left="1500" w:right="8800" w:hanging="1046"/>
        <w:spacing w:after="0" w:line="431" w:lineRule="auto"/>
        <w:tabs>
          <w:tab w:leader="none" w:pos="9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Name of Issuer: MongoDB, Inc.</w:t>
      </w: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229 W. 43</w:t>
      </w:r>
      <w:r>
        <w:rPr>
          <w:rFonts w:ascii="Arial" w:cs="Arial" w:eastAsia="Arial" w:hAnsi="Arial"/>
          <w:sz w:val="15"/>
          <w:szCs w:val="15"/>
          <w:color w:val="auto"/>
        </w:rPr>
        <w:t>rd</w:t>
      </w:r>
      <w:r>
        <w:rPr>
          <w:rFonts w:ascii="Arial" w:cs="Arial" w:eastAsia="Arial" w:hAnsi="Arial"/>
          <w:sz w:val="18"/>
          <w:szCs w:val="18"/>
          <w:color w:val="auto"/>
        </w:rPr>
        <w:t xml:space="preserve"> Street,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Sequoia Capital U.S. Growth Fund IV, 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Sequoia Capital USGF Principals Fund IV,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SCGF IV Management,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Sequoia Capital U.S. Venture 2010 Partners Fund (Q),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Sequoia Capital U.S. Venture 2010 Partners Fund,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Sequoia Capital U.S. Venture 2010 Fund,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 U.S. Venture 2010 Management, L.P.</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 US (TTGP), Ltd.</w:t>
      </w:r>
    </w:p>
    <w:p>
      <w:pPr>
        <w:spacing w:after="0" w:line="103" w:lineRule="exact"/>
        <w:rPr>
          <w:sz w:val="20"/>
          <w:szCs w:val="20"/>
          <w:color w:val="auto"/>
        </w:rPr>
      </w:pPr>
    </w:p>
    <w:p>
      <w:pPr>
        <w:ind w:left="1500" w:right="100"/>
        <w:spacing w:after="0" w:line="342" w:lineRule="auto"/>
        <w:rPr>
          <w:sz w:val="20"/>
          <w:szCs w:val="20"/>
          <w:color w:val="auto"/>
        </w:rPr>
      </w:pPr>
      <w:r>
        <w:rPr>
          <w:rFonts w:ascii="Arial" w:cs="Arial" w:eastAsia="Arial" w:hAnsi="Arial"/>
          <w:sz w:val="16"/>
          <w:szCs w:val="16"/>
          <w:color w:val="auto"/>
        </w:rPr>
        <w:t>SCGF IV MGMT is the General Partner of SC USGF IV and SC USGF PF IV. SC USV 2010 MGMT is the General Partner of SC USV 2010 PFQ, SC USV 2010 PF and SC USV 2010. SC US TTGP is the General Partner of SCGF IV MGMT and SC USV 2010 MGMT.</w:t>
      </w:r>
    </w:p>
    <w:p>
      <w:pPr>
        <w:spacing w:after="0" w:line="2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2800 Sand Hill Road, Suite 101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Menlo Park, CA 94025</w:t>
      </w:r>
    </w:p>
    <w:p>
      <w:pPr>
        <w:spacing w:after="0" w:line="1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ind w:left="1500" w:right="100"/>
        <w:spacing w:after="0" w:line="277" w:lineRule="auto"/>
        <w:rPr>
          <w:sz w:val="20"/>
          <w:szCs w:val="20"/>
          <w:color w:val="auto"/>
        </w:rPr>
      </w:pPr>
      <w:r>
        <w:rPr>
          <w:rFonts w:ascii="Arial" w:cs="Arial" w:eastAsia="Arial" w:hAnsi="Arial"/>
          <w:sz w:val="18"/>
          <w:szCs w:val="18"/>
          <w:color w:val="auto"/>
        </w:rPr>
        <w:t>SC USGF IV, SC USGF PF IV, SCGF IV MGMT, SC USV 2010 PFQ, SC USV 2010 PF, SC USV 2010, SC USV 2010 MGMT, SC US TTGP: Cayman</w:t>
      </w:r>
    </w:p>
    <w:p>
      <w:pPr>
        <w:spacing w:after="0" w:line="76" w:lineRule="exact"/>
        <w:rPr>
          <w:sz w:val="20"/>
          <w:szCs w:val="20"/>
          <w:color w:val="auto"/>
        </w:rPr>
      </w:pPr>
    </w:p>
    <w:p>
      <w:pPr>
        <w:ind w:left="1500" w:right="9100" w:hanging="1046"/>
        <w:spacing w:after="0" w:line="483" w:lineRule="auto"/>
        <w:tabs>
          <w:tab w:leader="none" w:pos="9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CUSIP Number: 60937P106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this statement is filed pursuant to §§ 240.13d-1(b) or 240.13d-2(b) or (c), check whether the person filing is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ROWS 5 THROUGH 11 OF COVER PAGES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1500" w:right="3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CUSIP No. 60937P106</w:t>
            </w:r>
          </w:p>
        </w:tc>
        <w:tc>
          <w:tcPr>
            <w:tcW w:w="3880" w:type="dxa"/>
            <w:vAlign w:val="bottom"/>
          </w:tcPr>
          <w:p>
            <w:pPr>
              <w:ind w:left="580"/>
              <w:spacing w:after="0"/>
              <w:rPr>
                <w:sz w:val="20"/>
                <w:szCs w:val="20"/>
                <w:color w:val="auto"/>
              </w:rPr>
            </w:pPr>
            <w:r>
              <w:rPr>
                <w:rFonts w:ascii="Arial" w:cs="Arial" w:eastAsia="Arial" w:hAnsi="Arial"/>
                <w:sz w:val="18"/>
                <w:szCs w:val="18"/>
                <w:color w:val="auto"/>
              </w:rPr>
              <w:t>SCHEDULE 13G</w:t>
            </w:r>
          </w:p>
        </w:tc>
        <w:tc>
          <w:tcPr>
            <w:tcW w:w="2980" w:type="dxa"/>
            <w:vAlign w:val="bottom"/>
          </w:tcPr>
          <w:p>
            <w:pPr>
              <w:ind w:left="1520"/>
              <w:spacing w:after="0"/>
              <w:rPr>
                <w:sz w:val="20"/>
                <w:szCs w:val="20"/>
                <w:color w:val="auto"/>
              </w:rPr>
            </w:pPr>
            <w:r>
              <w:rPr>
                <w:rFonts w:ascii="Arial" w:cs="Arial" w:eastAsia="Arial" w:hAnsi="Arial"/>
                <w:sz w:val="18"/>
                <w:szCs w:val="18"/>
                <w:color w:val="auto"/>
                <w:w w:val="85"/>
              </w:rPr>
              <w:t>Page 11 of 12 Pages</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10540" w:type="dxa"/>
            <w:vAlign w:val="bottom"/>
            <w:gridSpan w:val="3"/>
          </w:tcPr>
          <w:p>
            <w:pPr>
              <w:ind w:left="160"/>
              <w:spacing w:after="0"/>
              <w:rPr>
                <w:sz w:val="20"/>
                <w:szCs w:val="20"/>
                <w:color w:val="auto"/>
              </w:rPr>
            </w:pPr>
            <w:r>
              <w:rPr>
                <w:rFonts w:ascii="Arial" w:cs="Arial" w:eastAsia="Arial" w:hAnsi="Arial"/>
                <w:sz w:val="18"/>
                <w:szCs w:val="18"/>
                <w:color w:val="auto"/>
                <w:w w:val="98"/>
              </w:rPr>
              <w:t>IDENTIFICATION AND CLASSIFICATION OF THE SUBSIDIARY WHICH ACQUIRED THE SECURITY BEING REPORTED ON BY</w:t>
            </w:r>
          </w:p>
        </w:tc>
      </w:tr>
      <w:tr>
        <w:trPr>
          <w:trHeight w:val="230"/>
        </w:trPr>
        <w:tc>
          <w:tcPr>
            <w:tcW w:w="88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THE PARENT HOLDING COMPANY.</w:t>
            </w:r>
          </w:p>
        </w:tc>
        <w:tc>
          <w:tcPr>
            <w:tcW w:w="38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2980" w:type="dxa"/>
            <w:vAlign w:val="bottom"/>
          </w:tcPr>
          <w:p>
            <w:pPr>
              <w:spacing w:after="0"/>
              <w:rPr>
                <w:sz w:val="24"/>
                <w:szCs w:val="24"/>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IDENTIFICATION AND CLASSIFICATION OF MEMBERS OF THE GROUP.</w:t>
            </w:r>
          </w:p>
        </w:tc>
        <w:tc>
          <w:tcPr>
            <w:tcW w:w="298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2980" w:type="dxa"/>
            <w:vAlign w:val="bottom"/>
          </w:tcPr>
          <w:p>
            <w:pPr>
              <w:spacing w:after="0"/>
              <w:rPr>
                <w:sz w:val="24"/>
                <w:szCs w:val="24"/>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3680" w:type="dxa"/>
            <w:vAlign w:val="bottom"/>
          </w:tcPr>
          <w:p>
            <w:pPr>
              <w:ind w:left="160"/>
              <w:spacing w:after="0"/>
              <w:rPr>
                <w:sz w:val="20"/>
                <w:szCs w:val="20"/>
                <w:color w:val="auto"/>
              </w:rPr>
            </w:pPr>
            <w:r>
              <w:rPr>
                <w:rFonts w:ascii="Arial" w:cs="Arial" w:eastAsia="Arial" w:hAnsi="Arial"/>
                <w:sz w:val="18"/>
                <w:szCs w:val="18"/>
                <w:color w:val="auto"/>
              </w:rPr>
              <w:t>NOTICE OF DISSOLUTION OF GROUP.</w:t>
            </w:r>
          </w:p>
        </w:tc>
        <w:tc>
          <w:tcPr>
            <w:tcW w:w="38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2980" w:type="dxa"/>
            <w:vAlign w:val="bottom"/>
          </w:tcPr>
          <w:p>
            <w:pPr>
              <w:spacing w:after="0"/>
              <w:rPr>
                <w:sz w:val="24"/>
                <w:szCs w:val="24"/>
                <w:color w:val="auto"/>
              </w:rPr>
            </w:pP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3680" w:type="dxa"/>
            <w:vAlign w:val="bottom"/>
          </w:tcPr>
          <w:p>
            <w:pPr>
              <w:ind w:left="160"/>
              <w:spacing w:after="0"/>
              <w:rPr>
                <w:sz w:val="20"/>
                <w:szCs w:val="20"/>
                <w:color w:val="auto"/>
              </w:rPr>
            </w:pPr>
            <w:r>
              <w:rPr>
                <w:rFonts w:ascii="Arial" w:cs="Arial" w:eastAsia="Arial" w:hAnsi="Arial"/>
                <w:sz w:val="18"/>
                <w:szCs w:val="18"/>
                <w:color w:val="auto"/>
              </w:rPr>
              <w:t>CERTIFICATION</w:t>
            </w:r>
          </w:p>
        </w:tc>
        <w:tc>
          <w:tcPr>
            <w:tcW w:w="38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2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spacing w:after="0"/>
        <w:tabs>
          <w:tab w:leader="none" w:pos="512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12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Growth Fund IV,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USGF Principals Fund IV, L.P.</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SCGF IV Management, L.P.</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SCGF IV Management, L.P.</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Sequoia Capital U.S. Venture 2010 Partners Fund (Q), LP</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Venture 2010 Partners Fund, LP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Venture 2010 Fund, LP</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Venture 2010 Management, L.P.</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Venture 2010 Management, L.P.</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(TTGP), Ltd.</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ectPr>
          <w:pgSz w:w="11900" w:h="16838" w:orient="portrait"/>
          <w:cols w:equalWidth="0" w:num="1">
            <w:col w:w="11420"/>
          </w:cols>
          <w:pgMar w:left="240" w:top="274" w:right="239" w:bottom="1440" w:gutter="0" w:footer="0" w:header="0"/>
        </w:sectPr>
      </w:pPr>
    </w:p>
    <w:bookmarkStart w:id="12" w:name="page13"/>
    <w:bookmarkEnd w:id="12"/>
    <w:p>
      <w:pPr>
        <w:spacing w:after="0"/>
        <w:tabs>
          <w:tab w:leader="none" w:pos="5120" w:val="left"/>
          <w:tab w:leader="none" w:pos="10200" w:val="left"/>
        </w:tabs>
        <w:rPr>
          <w:sz w:val="20"/>
          <w:szCs w:val="20"/>
          <w:color w:val="auto"/>
        </w:rPr>
      </w:pPr>
      <w:r>
        <w:rPr>
          <w:rFonts w:ascii="Arial" w:cs="Arial" w:eastAsia="Arial" w:hAnsi="Arial"/>
          <w:sz w:val="18"/>
          <w:szCs w:val="18"/>
          <w:color w:val="auto"/>
        </w:rPr>
        <w:t>CUSIP No. 60937P106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 of 1 Page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AS TO JOINT FILING OF SCHEDULE 13G</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undersigned hereby agree that the Schedule 13G relating to the common stock of MongoDB, Inc., and any further amendments thereto, to which this Agreement as to Joint Filing of Schedule 13G is attached as an exhibit is filed on behalf of each of them pursuant to and in accordance with the provisions of Rule 13d-1(k) under the Securities Exchange Act of 1934, as amended.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Growth Fund IV,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USGF Principals Fund IV, L.P.</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SCGF IV Management, L.P.</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SCGF IV Management, L.P.</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Sequoia Capital U.S. Venture 2010 Partners Fund (Q), LP</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Venture 2010 Partners Fund, LP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Venture 2010 Fund, LP</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Venture 2010 Management, L.P.</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Venture 2010 Management, L.P.</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(TTGP), Ltd.</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Douglas Leone, Managing Director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2"/>
      <w:numFmt w:val="bullet"/>
      <w:start w:val="1"/>
    </w:lvl>
  </w:abstractNum>
  <w:abstractNum w:abstractNumId="6">
    <w:nsid w:val="189A769B"/>
    <w:multiLevelType w:val="hybridMultilevel"/>
    <w:lvl w:ilvl="0">
      <w:lvlJc w:val="left"/>
      <w:lvlText w:val="3"/>
      <w:numFmt w:val="bullet"/>
      <w:start w:val="1"/>
    </w:lvl>
  </w:abstractNum>
  <w:abstractNum w:abstractNumId="7">
    <w:nsid w:val="54E49EB4"/>
    <w:multiLevelType w:val="hybridMultilevel"/>
    <w:lvl w:ilvl="0">
      <w:lvlJc w:val="left"/>
      <w:lvlText w:val="4"/>
      <w:numFmt w:val="bullet"/>
      <w:start w:val="1"/>
    </w:lvl>
  </w:abstractNum>
  <w:abstractNum w:abstractNumId="8">
    <w:nsid w:val="71F32454"/>
    <w:multiLevelType w:val="hybridMultilevel"/>
    <w:lvl w:ilvl="0">
      <w:lvlJc w:val="left"/>
      <w:lvlText w:val="9"/>
      <w:numFmt w:val="bullet"/>
      <w:start w:val="1"/>
    </w:lvl>
  </w:abstractNum>
  <w:abstractNum w:abstractNumId="9">
    <w:nsid w:val="2CA88611"/>
    <w:multiLevelType w:val="hybridMultilevel"/>
    <w:lvl w:ilvl="0">
      <w:lvlJc w:val="left"/>
      <w:lvlText w:val="%1"/>
      <w:numFmt w:val="decimal"/>
      <w:start w:val="1"/>
    </w:lvl>
    <w:lvl w:ilvl="1">
      <w:lvlJc w:val="left"/>
      <w:lvlText w:val="%2"/>
      <w:numFmt w:val="decimal"/>
      <w:start w:val="10"/>
    </w:lvl>
  </w:abstractNum>
  <w:abstractNum w:abstractNumId="10">
    <w:nsid w:val="836C40E"/>
    <w:multiLevelType w:val="hybridMultilevel"/>
    <w:lvl w:ilvl="0">
      <w:lvlJc w:val="left"/>
      <w:lvlText w:val="1"/>
      <w:numFmt w:val="bullet"/>
      <w:start w:val="1"/>
    </w:lvl>
  </w:abstractNum>
  <w:abstractNum w:abstractNumId="11">
    <w:nsid w:val="2901D82"/>
    <w:multiLevelType w:val="hybridMultilevel"/>
    <w:lvl w:ilvl="0">
      <w:lvlJc w:val="left"/>
      <w:lvlText w:val="2"/>
      <w:numFmt w:val="bullet"/>
      <w:start w:val="1"/>
    </w:lvl>
  </w:abstractNum>
  <w:abstractNum w:abstractNumId="12">
    <w:nsid w:val="3A95F874"/>
    <w:multiLevelType w:val="hybridMultilevel"/>
    <w:lvl w:ilvl="0">
      <w:lvlJc w:val="left"/>
      <w:lvlText w:val="3"/>
      <w:numFmt w:val="bullet"/>
      <w:start w:val="1"/>
    </w:lvl>
  </w:abstractNum>
  <w:abstractNum w:abstractNumId="13">
    <w:nsid w:val="8138641"/>
    <w:multiLevelType w:val="hybridMultilevel"/>
    <w:lvl w:ilvl="0">
      <w:lvlJc w:val="left"/>
      <w:lvlText w:val="4"/>
      <w:numFmt w:val="bullet"/>
      <w:start w:val="1"/>
    </w:lvl>
  </w:abstractNum>
  <w:abstractNum w:abstractNumId="14">
    <w:nsid w:val="1E7FF521"/>
    <w:multiLevelType w:val="hybridMultilevel"/>
    <w:lvl w:ilvl="0">
      <w:lvlJc w:val="left"/>
      <w:lvlText w:val="9"/>
      <w:numFmt w:val="bullet"/>
      <w:start w:val="1"/>
    </w:lvl>
  </w:abstractNum>
  <w:abstractNum w:abstractNumId="15">
    <w:nsid w:val="7C3DBD3D"/>
    <w:multiLevelType w:val="hybridMultilevel"/>
    <w:lvl w:ilvl="0">
      <w:lvlJc w:val="left"/>
      <w:lvlText w:val="%1"/>
      <w:numFmt w:val="decimal"/>
      <w:start w:val="1"/>
    </w:lvl>
    <w:lvl w:ilvl="1">
      <w:lvlJc w:val="left"/>
      <w:lvlText w:val="%2"/>
      <w:numFmt w:val="decimal"/>
      <w:start w:val="10"/>
    </w:lvl>
  </w:abstractNum>
  <w:abstractNum w:abstractNumId="16">
    <w:nsid w:val="737B8DDC"/>
    <w:multiLevelType w:val="hybridMultilevel"/>
    <w:lvl w:ilvl="0">
      <w:lvlJc w:val="left"/>
      <w:lvlText w:val="1"/>
      <w:numFmt w:val="bullet"/>
      <w:start w:val="1"/>
    </w:lvl>
  </w:abstractNum>
  <w:abstractNum w:abstractNumId="17">
    <w:nsid w:val="6CEAF087"/>
    <w:multiLevelType w:val="hybridMultilevel"/>
    <w:lvl w:ilvl="0">
      <w:lvlJc w:val="left"/>
      <w:lvlText w:val="2"/>
      <w:numFmt w:val="bullet"/>
      <w:start w:val="1"/>
    </w:lvl>
  </w:abstractNum>
  <w:abstractNum w:abstractNumId="18">
    <w:nsid w:val="22221A70"/>
    <w:multiLevelType w:val="hybridMultilevel"/>
    <w:lvl w:ilvl="0">
      <w:lvlJc w:val="left"/>
      <w:lvlText w:val="3"/>
      <w:numFmt w:val="bullet"/>
      <w:start w:val="1"/>
    </w:lvl>
  </w:abstractNum>
  <w:abstractNum w:abstractNumId="19">
    <w:nsid w:val="4516DDE9"/>
    <w:multiLevelType w:val="hybridMultilevel"/>
    <w:lvl w:ilvl="0">
      <w:lvlJc w:val="left"/>
      <w:lvlText w:val="4"/>
      <w:numFmt w:val="bullet"/>
      <w:start w:val="1"/>
    </w:lvl>
  </w:abstractNum>
  <w:abstractNum w:abstractNumId="20">
    <w:nsid w:val="3006C83E"/>
    <w:multiLevelType w:val="hybridMultilevel"/>
    <w:lvl w:ilvl="0">
      <w:lvlJc w:val="left"/>
      <w:lvlText w:val="9"/>
      <w:numFmt w:val="bullet"/>
      <w:start w:val="1"/>
    </w:lvl>
  </w:abstractNum>
  <w:abstractNum w:abstractNumId="21">
    <w:nsid w:val="614FD4A1"/>
    <w:multiLevelType w:val="hybridMultilevel"/>
    <w:lvl w:ilvl="0">
      <w:lvlJc w:val="left"/>
      <w:lvlText w:val="%1"/>
      <w:numFmt w:val="decimal"/>
      <w:start w:val="1"/>
    </w:lvl>
    <w:lvl w:ilvl="1">
      <w:lvlJc w:val="left"/>
      <w:lvlText w:val="%2"/>
      <w:numFmt w:val="decimal"/>
      <w:start w:val="10"/>
    </w:lvl>
  </w:abstractNum>
  <w:abstractNum w:abstractNumId="22">
    <w:nsid w:val="419AC241"/>
    <w:multiLevelType w:val="hybridMultilevel"/>
    <w:lvl w:ilvl="0">
      <w:lvlJc w:val="left"/>
      <w:lvlText w:val="1"/>
      <w:numFmt w:val="bullet"/>
      <w:start w:val="1"/>
    </w:lvl>
  </w:abstractNum>
  <w:abstractNum w:abstractNumId="23">
    <w:nsid w:val="5577F8E1"/>
    <w:multiLevelType w:val="hybridMultilevel"/>
    <w:lvl w:ilvl="0">
      <w:lvlJc w:val="left"/>
      <w:lvlText w:val="2"/>
      <w:numFmt w:val="bullet"/>
      <w:start w:val="1"/>
    </w:lvl>
  </w:abstractNum>
  <w:abstractNum w:abstractNumId="24">
    <w:nsid w:val="440BADFC"/>
    <w:multiLevelType w:val="hybridMultilevel"/>
    <w:lvl w:ilvl="0">
      <w:lvlJc w:val="left"/>
      <w:lvlText w:val="3"/>
      <w:numFmt w:val="bullet"/>
      <w:start w:val="1"/>
    </w:lvl>
  </w:abstractNum>
  <w:abstractNum w:abstractNumId="25">
    <w:nsid w:val="5072367"/>
    <w:multiLevelType w:val="hybridMultilevel"/>
    <w:lvl w:ilvl="0">
      <w:lvlJc w:val="left"/>
      <w:lvlText w:val="4"/>
      <w:numFmt w:val="bullet"/>
      <w:start w:val="1"/>
    </w:lvl>
  </w:abstractNum>
  <w:abstractNum w:abstractNumId="26">
    <w:nsid w:val="3804823E"/>
    <w:multiLevelType w:val="hybridMultilevel"/>
    <w:lvl w:ilvl="0">
      <w:lvlJc w:val="left"/>
      <w:lvlText w:val="9"/>
      <w:numFmt w:val="bullet"/>
      <w:start w:val="1"/>
    </w:lvl>
  </w:abstractNum>
  <w:abstractNum w:abstractNumId="27">
    <w:nsid w:val="77465F01"/>
    <w:multiLevelType w:val="hybridMultilevel"/>
    <w:lvl w:ilvl="0">
      <w:lvlJc w:val="left"/>
      <w:lvlText w:val="%1"/>
      <w:numFmt w:val="decimal"/>
      <w:start w:val="1"/>
    </w:lvl>
    <w:lvl w:ilvl="1">
      <w:lvlJc w:val="left"/>
      <w:lvlText w:val="%2"/>
      <w:numFmt w:val="decimal"/>
      <w:start w:val="10"/>
    </w:lvl>
  </w:abstractNum>
  <w:abstractNum w:abstractNumId="28">
    <w:nsid w:val="7724C67E"/>
    <w:multiLevelType w:val="hybridMultilevel"/>
    <w:lvl w:ilvl="0">
      <w:lvlJc w:val="left"/>
      <w:lvlText w:val="1"/>
      <w:numFmt w:val="bullet"/>
      <w:start w:val="1"/>
    </w:lvl>
  </w:abstractNum>
  <w:abstractNum w:abstractNumId="29">
    <w:nsid w:val="5C482A97"/>
    <w:multiLevelType w:val="hybridMultilevel"/>
    <w:lvl w:ilvl="0">
      <w:lvlJc w:val="left"/>
      <w:lvlText w:val="1"/>
      <w:numFmt w:val="bullet"/>
      <w:start w:val="1"/>
    </w:lvl>
  </w:abstractNum>
  <w:abstractNum w:abstractNumId="30">
    <w:nsid w:val="2463B9EA"/>
    <w:multiLevelType w:val="hybridMultilevel"/>
    <w:lvl w:ilvl="0">
      <w:lvlJc w:val="left"/>
      <w:lvlText w:val="2"/>
      <w:numFmt w:val="bullet"/>
      <w:start w:val="1"/>
    </w:lvl>
  </w:abstractNum>
  <w:abstractNum w:abstractNumId="31">
    <w:nsid w:val="5E884ADC"/>
    <w:multiLevelType w:val="hybridMultilevel"/>
    <w:lvl w:ilvl="0">
      <w:lvlJc w:val="left"/>
      <w:lvlText w:val="3"/>
      <w:numFmt w:val="bullet"/>
      <w:start w:val="1"/>
    </w:lvl>
  </w:abstractNum>
  <w:abstractNum w:abstractNumId="32">
    <w:nsid w:val="51EAD36B"/>
    <w:multiLevelType w:val="hybridMultilevel"/>
    <w:lvl w:ilvl="0">
      <w:lvlJc w:val="left"/>
      <w:lvlText w:val="4"/>
      <w:numFmt w:val="bullet"/>
      <w:start w:val="1"/>
    </w:lvl>
  </w:abstractNum>
  <w:abstractNum w:abstractNumId="33">
    <w:nsid w:val="2D517796"/>
    <w:multiLevelType w:val="hybridMultilevel"/>
    <w:lvl w:ilvl="0">
      <w:lvlJc w:val="left"/>
      <w:lvlText w:val="9"/>
      <w:numFmt w:val="bullet"/>
      <w:start w:val="1"/>
    </w:lvl>
  </w:abstractNum>
  <w:abstractNum w:abstractNumId="34">
    <w:nsid w:val="580BD78F"/>
    <w:multiLevelType w:val="hybridMultilevel"/>
    <w:lvl w:ilvl="0">
      <w:lvlJc w:val="left"/>
      <w:lvlText w:val="%1"/>
      <w:numFmt w:val="decimal"/>
      <w:start w:val="1"/>
    </w:lvl>
    <w:lvl w:ilvl="1">
      <w:lvlJc w:val="left"/>
      <w:lvlText w:val="%2"/>
      <w:numFmt w:val="decimal"/>
      <w:start w:val="10"/>
    </w:lvl>
  </w:abstractNum>
  <w:abstractNum w:abstractNumId="35">
    <w:nsid w:val="153EA438"/>
    <w:multiLevelType w:val="hybridMultilevel"/>
    <w:lvl w:ilvl="0">
      <w:lvlJc w:val="left"/>
      <w:lvlText w:val="1"/>
      <w:numFmt w:val="bullet"/>
      <w:start w:val="1"/>
    </w:lvl>
  </w:abstractNum>
  <w:abstractNum w:abstractNumId="36">
    <w:nsid w:val="3855585C"/>
    <w:multiLevelType w:val="hybridMultilevel"/>
    <w:lvl w:ilvl="0">
      <w:lvlJc w:val="left"/>
      <w:lvlText w:val="2"/>
      <w:numFmt w:val="bullet"/>
      <w:start w:val="1"/>
    </w:lvl>
  </w:abstractNum>
  <w:abstractNum w:abstractNumId="37">
    <w:nsid w:val="70A64E2A"/>
    <w:multiLevelType w:val="hybridMultilevel"/>
    <w:lvl w:ilvl="0">
      <w:lvlJc w:val="left"/>
      <w:lvlText w:val="3"/>
      <w:numFmt w:val="bullet"/>
      <w:start w:val="1"/>
    </w:lvl>
  </w:abstractNum>
  <w:abstractNum w:abstractNumId="38">
    <w:nsid w:val="6A2342EC"/>
    <w:multiLevelType w:val="hybridMultilevel"/>
    <w:lvl w:ilvl="0">
      <w:lvlJc w:val="left"/>
      <w:lvlText w:val="4"/>
      <w:numFmt w:val="bullet"/>
      <w:start w:val="1"/>
    </w:lvl>
  </w:abstractNum>
  <w:abstractNum w:abstractNumId="39">
    <w:nsid w:val="2A487CB0"/>
    <w:multiLevelType w:val="hybridMultilevel"/>
    <w:lvl w:ilvl="0">
      <w:lvlJc w:val="left"/>
      <w:lvlText w:val="9"/>
      <w:numFmt w:val="bullet"/>
      <w:start w:val="1"/>
    </w:lvl>
  </w:abstractNum>
  <w:abstractNum w:abstractNumId="40">
    <w:nsid w:val="1D4ED43B"/>
    <w:multiLevelType w:val="hybridMultilevel"/>
    <w:lvl w:ilvl="0">
      <w:lvlJc w:val="left"/>
      <w:lvlText w:val="%1"/>
      <w:numFmt w:val="decimal"/>
      <w:start w:val="1"/>
    </w:lvl>
    <w:lvl w:ilvl="1">
      <w:lvlJc w:val="left"/>
      <w:lvlText w:val="%2"/>
      <w:numFmt w:val="decimal"/>
      <w:start w:val="10"/>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1)"/>
      <w:numFmt w:val="lowerLetter"/>
      <w:start w:val="3"/>
    </w:lvl>
  </w:abstractNum>
  <w:abstractNum w:abstractNumId="45">
    <w:nsid w:val="4B588F5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2019-12-07T14:33:44Z</dcterms:created>
  <dcterms:modified xsi:type="dcterms:W3CDTF">2019-12-07T14:33:44Z</dcterms:modified>
</cp:coreProperties>
</file>