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3937635</wp:posOffset>
            </wp:positionH>
            <wp:positionV relativeFrom="paragraph">
              <wp:posOffset>-19050</wp:posOffset>
            </wp:positionV>
            <wp:extent cx="2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5"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19" w:firstLine="8"/>
        <w:spacing w:after="0" w:line="21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4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780" w:hanging="673"/>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4445</wp:posOffset>
            </wp:positionV>
            <wp:extent cx="6591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706120</wp:posOffset>
            </wp:positionV>
            <wp:extent cx="2700020"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7000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 Be Held on June 28, 2022 at 10:00 a.m. Eastern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MongoDB, Inc.:</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it is our pleasure to invite you to attend the 2022 annual meeting of stockholders of MongoDB, Inc., a Delaware corporation.</w:t>
      </w:r>
    </w:p>
    <w:p>
      <w:pPr>
        <w:spacing w:after="0" w:line="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meeting will be held virtually, via live webcast at </w:t>
      </w:r>
      <w:r>
        <w:rPr>
          <w:rFonts w:ascii="Times New Roman" w:cs="Times New Roman" w:eastAsia="Times New Roman" w:hAnsi="Times New Roman"/>
          <w:sz w:val="18"/>
          <w:szCs w:val="18"/>
          <w:i w:val="1"/>
          <w:iCs w:val="1"/>
          <w:color w:val="auto"/>
        </w:rPr>
        <w:t>www.virtualshareholdermeeting.com/MDB2022</w:t>
      </w:r>
      <w:r>
        <w:rPr>
          <w:rFonts w:ascii="Times New Roman" w:cs="Times New Roman" w:eastAsia="Times New Roman" w:hAnsi="Times New Roman"/>
          <w:sz w:val="18"/>
          <w:szCs w:val="18"/>
          <w:color w:val="auto"/>
        </w:rPr>
        <w:t>, originating from New York, New York, on Tuesday, June 28, 2022 at 10:00 a.m. Eastern Time. We continue to embrace the latest technology to provide expanded access, improved communication and cost savings. We believe hosting a virtual meeting enables increased stockholder attendance and participation from locations around the world. Additionally, in light of public health and travel concerns arising from the ongoing COVID-19 pandemic, hosting a virtual meeting helps ensure the health and safety of our stockholders and other meeting participants. Stockholders attending the virtual meeting will be afforded the same rights and opportunities to participate as they would at an in-person meeting. We encourage you to attend online and participate. The record date for the meeting is April 29, 2022. Only stockholders of record at the close of business on that date may vote at the meeting or any adjournment thereof.</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Francisco D’Souza, Charles M. Hazard, Jr., and Tom Killalea, each to serve until our annual meeting of stockholders in 2025;</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registered public accounting firm for our fiscal year ending January 31, 2023;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adjournments or postponements thereof.</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materials accompanying this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and the management team, thank you for your investment and interest in MongoDB.</w:t>
      </w:r>
    </w:p>
    <w:p>
      <w:pPr>
        <w:spacing w:after="0" w:line="15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43180</wp:posOffset>
            </wp:positionV>
            <wp:extent cx="745490"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54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tabs>
          <w:tab w:leader="none" w:pos="7240" w:val="left"/>
        </w:tabs>
        <w:rPr>
          <w:sz w:val="20"/>
          <w:szCs w:val="20"/>
          <w:color w:val="auto"/>
        </w:rPr>
      </w:pPr>
      <w:r>
        <w:rPr>
          <w:rFonts w:ascii="Times New Roman" w:cs="Times New Roman" w:eastAsia="Times New Roman" w:hAnsi="Times New Roman"/>
          <w:sz w:val="18"/>
          <w:szCs w:val="18"/>
          <w:color w:val="auto"/>
        </w:rPr>
        <w:t>May 17, 2022</w:t>
      </w:r>
      <w:r>
        <w:rPr>
          <w:sz w:val="20"/>
          <w:szCs w:val="20"/>
          <w:color w:val="auto"/>
        </w:rPr>
        <w:tab/>
      </w:r>
      <w:r>
        <w:rPr>
          <w:rFonts w:ascii="Times New Roman" w:cs="Times New Roman" w:eastAsia="Times New Roman" w:hAnsi="Times New Roman"/>
          <w:sz w:val="18"/>
          <w:szCs w:val="18"/>
          <w:color w:val="auto"/>
        </w:rPr>
        <w:t>Andrew Stephens</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ind w:left="20" w:right="20"/>
        <w:spacing w:after="0" w:line="224" w:lineRule="auto"/>
        <w:rPr>
          <w:sz w:val="20"/>
          <w:szCs w:val="20"/>
          <w:color w:val="auto"/>
        </w:rPr>
      </w:pPr>
      <w:r>
        <w:rPr>
          <w:rFonts w:ascii="Times New Roman" w:cs="Times New Roman" w:eastAsia="Times New Roman" w:hAnsi="Times New Roman"/>
          <w:sz w:val="14"/>
          <w:szCs w:val="14"/>
          <w:b w:val="1"/>
          <w:bCs w:val="1"/>
          <w:color w:val="auto"/>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Questions and Answers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6240" w:type="dxa"/>
            <w:vAlign w:val="bottom"/>
            <w:gridSpan w:val="5"/>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80" w:type="dxa"/>
            <w:vAlign w:val="bottom"/>
            <w:gridSpan w:val="5"/>
          </w:tcPr>
          <w:p>
            <w:pPr>
              <w:spacing w:after="0"/>
              <w:rPr>
                <w:sz w:val="21"/>
                <w:szCs w:val="21"/>
                <w:color w:val="auto"/>
              </w:rPr>
            </w:pPr>
          </w:p>
        </w:tc>
        <w:tc>
          <w:tcPr>
            <w:tcW w:w="6240" w:type="dxa"/>
            <w:vAlign w:val="bottom"/>
            <w:gridSpan w:val="5"/>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50"/>
        </w:trPr>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Information Regarding Director Nominees and Current Directors</w:t>
            </w:r>
          </w:p>
        </w:tc>
        <w:tc>
          <w:tcPr>
            <w:tcW w:w="4880" w:type="dxa"/>
            <w:vAlign w:val="bottom"/>
            <w:gridSpan w:val="4"/>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50"/>
        </w:trPr>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Director Compensation</w:t>
            </w:r>
          </w:p>
        </w:tc>
        <w:tc>
          <w:tcPr>
            <w:tcW w:w="7880" w:type="dxa"/>
            <w:vAlign w:val="bottom"/>
            <w:gridSpan w:val="13"/>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50"/>
        </w:trPr>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2 – Approval, on a Non-binding Advisory Basis. of the Compensation of Our Named Executive Officers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50"/>
        </w:trPr>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6840" w:type="dxa"/>
            <w:vAlign w:val="bottom"/>
            <w:tcBorders>
              <w:top w:val="single" w:sz="8" w:color="0000FF"/>
            </w:tcBorders>
            <w:gridSpan w:val="13"/>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50"/>
        </w:trPr>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7760" w:type="dxa"/>
            <w:vAlign w:val="bottom"/>
            <w:gridSpan w:val="11"/>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50"/>
        </w:trPr>
        <w:tc>
          <w:tcPr>
            <w:tcW w:w="958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Discussion and Analysis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958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Executive Compensation Tables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958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Committee Report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CEO Pay Ratio</w:t>
            </w:r>
          </w:p>
        </w:tc>
        <w:tc>
          <w:tcPr>
            <w:tcW w:w="8460" w:type="dxa"/>
            <w:vAlign w:val="bottom"/>
            <w:gridSpan w:val="15"/>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50"/>
        </w:trPr>
        <w:tc>
          <w:tcPr>
            <w:tcW w:w="2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6740" w:type="dxa"/>
            <w:vAlign w:val="bottom"/>
            <w:gridSpan w:val="7"/>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50"/>
        </w:trPr>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3 – Ratification of Selection of Independent Registered Public Accounting Firm</w:t>
            </w:r>
          </w:p>
        </w:tc>
        <w:tc>
          <w:tcPr>
            <w:tcW w:w="314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50"/>
        </w:trPr>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7780" w:type="dxa"/>
            <w:vAlign w:val="bottom"/>
            <w:gridSpan w:val="12"/>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50"/>
        </w:trPr>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r>
      <w:tr>
        <w:trPr>
          <w:trHeight w:val="250"/>
        </w:trPr>
        <w:tc>
          <w:tcPr>
            <w:tcW w:w="10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3860" w:type="dxa"/>
            <w:vAlign w:val="bottom"/>
            <w:tcBorders>
              <w:top w:val="single" w:sz="8" w:color="0000FF"/>
            </w:tcBorders>
            <w:gridSpan w:val="13"/>
          </w:tcPr>
          <w:p>
            <w:pPr>
              <w:spacing w:after="0"/>
              <w:rPr>
                <w:sz w:val="21"/>
                <w:szCs w:val="21"/>
                <w:color w:val="auto"/>
              </w:rPr>
            </w:pPr>
          </w:p>
        </w:tc>
        <w:tc>
          <w:tcPr>
            <w:tcW w:w="4700" w:type="dxa"/>
            <w:vAlign w:val="bottom"/>
            <w:gridSpan w:val="3"/>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180"/>
          </w:cols>
          <w:pgMar w:left="320" w:top="1083"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2022 Annual Meeting of Stockholders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28, 2022 at 10:00 a.m. Eastern Time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to vote at the 2022 annual meeting of stockholders of MongoDB, Inc., a Delaware corporation, to be held virtually, via live webcast at </w:t>
      </w:r>
      <w:r>
        <w:rPr>
          <w:rFonts w:ascii="Times New Roman" w:cs="Times New Roman" w:eastAsia="Times New Roman" w:hAnsi="Times New Roman"/>
          <w:sz w:val="18"/>
          <w:szCs w:val="18"/>
          <w:i w:val="1"/>
          <w:iCs w:val="1"/>
          <w:color w:val="auto"/>
        </w:rPr>
        <w:t>www.virtualshareholdermeeting.com/MDB2022</w:t>
      </w:r>
      <w:r>
        <w:rPr>
          <w:rFonts w:ascii="Times New Roman" w:cs="Times New Roman" w:eastAsia="Times New Roman" w:hAnsi="Times New Roman"/>
          <w:sz w:val="18"/>
          <w:szCs w:val="18"/>
          <w:color w:val="auto"/>
        </w:rPr>
        <w:t>, originating from New York, New York, on Tuesday, June 28, 2022 at 10:00 a.m. Eastern Time, and any adjournment or postponement thereof. We believe that hosting a virtual meeting enables participation by more of our stockholders, while lowering the cost of conducting the meeting. Additionally, in light of public health and travel concerns arising from the COVID-19 pandemic, hosting a virtual meeting helps ensure the health and safety of our stockholders and other meeting participants. Stockholders attending the virtual meeting will be afforded the same rights and opportunities to participate as they would at an in-person meeting.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meeting, we have elected to furnish our proxy materials, including this proxy statement and our Annual Report on Form 10-K for the fiscal year ended January 31, 2022 (the “Annual Report”), to our stockholders primarily via the internet. On or about May 17, 2022, we intend to mail to our 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the proxy materials on the internet to help reduce the environmental impact and cost of our annual meeting.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Only stockholders of record at the close of business on April 29, 2022 will be entitled to vote at the meeting. On this record date, there were 68,061,063 shares of Class A common stock outstanding and entitled to vote (the “common stock”). Each holder of common stock will have the right to one vote per share of common stock. A list of stockholders entitled to vote at the meeting will be available for examination during normal business hours by any stockholder for any purpose germane to the meeting for ten days before the meeting at our address above. To the extent office access is impracticable due to the ongoing COVID-19 pandemic, please email us at </w:t>
      </w:r>
      <w:r>
        <w:rPr>
          <w:rFonts w:ascii="Times New Roman" w:cs="Times New Roman" w:eastAsia="Times New Roman" w:hAnsi="Times New Roman"/>
          <w:sz w:val="18"/>
          <w:szCs w:val="18"/>
          <w:i w:val="1"/>
          <w:iCs w:val="1"/>
          <w:color w:val="auto"/>
        </w:rPr>
        <w:t>ir@mongodb.com</w:t>
      </w:r>
      <w:r>
        <w:rPr>
          <w:rFonts w:ascii="Times New Roman" w:cs="Times New Roman" w:eastAsia="Times New Roman" w:hAnsi="Times New Roman"/>
          <w:sz w:val="18"/>
          <w:szCs w:val="18"/>
          <w:color w:val="auto"/>
        </w:rPr>
        <w:t xml:space="preserve"> to make alternative arrangements. The stockholder list will also be available online during the meeting. For instructions on how to attend the virtual annual meeting, please see page 2 of this proxy statement.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proxy statement, we refer to MongoDB, Inc. as “MongoDB,” “we” or “us” and the board of directors of MongoDB as “our board of directors.” The Annual Report, which contains consolidated financial statements as of and for the fiscal year ended January 31, 2022, accompanies this proxy statement. You also may obtain a copy of the Annual Report without charge by writing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these Proxy Materials and Voting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(“SEC”), we have elected to provide access to our proxy materials over the internet. Accordingly, we have sent you the Notice because our board of directors is soliciting your proxy to vote at the 2022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May 17, 2022 to all stockholders of record entitled to vote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be hosting the meeting via live webcast only. Any stockholder can attend the virtual annual meeting live online at </w:t>
      </w:r>
      <w:r>
        <w:rPr>
          <w:rFonts w:ascii="Times New Roman" w:cs="Times New Roman" w:eastAsia="Times New Roman" w:hAnsi="Times New Roman"/>
          <w:sz w:val="18"/>
          <w:szCs w:val="18"/>
          <w:i w:val="1"/>
          <w:iCs w:val="1"/>
          <w:color w:val="auto"/>
        </w:rPr>
        <w:t>www.virtualshareholdermeeting.com/MDB2022</w:t>
      </w:r>
      <w:r>
        <w:rPr>
          <w:rFonts w:ascii="Times New Roman" w:cs="Times New Roman" w:eastAsia="Times New Roman" w:hAnsi="Times New Roman"/>
          <w:sz w:val="18"/>
          <w:szCs w:val="18"/>
          <w:color w:val="auto"/>
        </w:rPr>
        <w:t>. The meeting will start at 10:00 a.m. Eastern Time on June 28, 2022. Stockholders attending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will be afforded the same rights and opportunities to participate as they would at an in-person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similar organization if you hold your shares of common stock in “street name.” Instructions on how to attend and participate online are available at </w:t>
      </w:r>
      <w:r>
        <w:rPr>
          <w:rFonts w:ascii="Times New Roman" w:cs="Times New Roman" w:eastAsia="Times New Roman" w:hAnsi="Times New Roman"/>
          <w:sz w:val="18"/>
          <w:szCs w:val="18"/>
          <w:i w:val="1"/>
          <w:iCs w:val="1"/>
          <w:color w:val="auto"/>
        </w:rPr>
        <w:t>www.virtualshareholdermeeting.com/MDB2022</w:t>
      </w:r>
      <w:r>
        <w:rPr>
          <w:rFonts w:ascii="Times New Roman" w:cs="Times New Roman" w:eastAsia="Times New Roman" w:hAnsi="Times New Roman"/>
          <w:sz w:val="18"/>
          <w:szCs w:val="18"/>
          <w:color w:val="auto"/>
        </w:rPr>
        <w:t>. We recommend that you log in a few minutes before 10:00 a.m. Eastern time on June 28, 2022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logged in when the meeting starts. The webcast will open 15 minutes before the start of the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for the annual meeting and their proxy holders may submit questions or comments. You will be able to submit your question or comment during the meeting by logging in to </w:t>
      </w:r>
      <w:r>
        <w:rPr>
          <w:rFonts w:ascii="Times New Roman" w:cs="Times New Roman" w:eastAsia="Times New Roman" w:hAnsi="Times New Roman"/>
          <w:sz w:val="18"/>
          <w:szCs w:val="18"/>
          <w:i w:val="1"/>
          <w:iCs w:val="1"/>
          <w:color w:val="auto"/>
        </w:rPr>
        <w:t>www.virtualshareholdermeeting.com/MDB2022</w:t>
      </w:r>
      <w:r>
        <w:rPr>
          <w:rFonts w:ascii="Times New Roman" w:cs="Times New Roman" w:eastAsia="Times New Roman" w:hAnsi="Times New Roman"/>
          <w:sz w:val="18"/>
          <w:szCs w:val="18"/>
          <w:color w:val="auto"/>
        </w:rPr>
        <w:t xml:space="preserve"> using your control number and typing your question in the designated box in the annual meeting portal.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meeting when you log in prior to its start. These rules of conduct will include the following guidelines:</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meeting and their proxy holders may submit questions or comments.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comments may be submitted electronically through the annual meeting portal during the meeting.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must be directed to Dev Ittycheria, MongoDB’s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meeting and/or our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meeting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 xml:space="preserve">www.virtualshareholdermeeting.com/MDB2022 </w:t>
      </w:r>
      <w:r>
        <w:rPr>
          <w:rFonts w:ascii="Times New Roman" w:cs="Times New Roman" w:eastAsia="Times New Roman" w:hAnsi="Times New Roman"/>
          <w:sz w:val="18"/>
          <w:szCs w:val="18"/>
          <w:color w:val="auto"/>
        </w:rPr>
        <w:t>or at</w:t>
      </w:r>
      <w:r>
        <w:rPr>
          <w:rFonts w:ascii="Times New Roman" w:cs="Times New Roman" w:eastAsia="Times New Roman" w:hAnsi="Times New Roman"/>
          <w:sz w:val="18"/>
          <w:szCs w:val="18"/>
          <w:i w:val="1"/>
          <w:iCs w:val="1"/>
          <w:color w:val="auto"/>
        </w:rPr>
        <w:t xml:space="preserve"> www.proxyvote.com</w:t>
      </w:r>
      <w:r>
        <w:rPr>
          <w:rFonts w:ascii="Times New Roman" w:cs="Times New Roman" w:eastAsia="Times New Roman" w:hAnsi="Times New Roman"/>
          <w:sz w:val="18"/>
          <w:szCs w:val="18"/>
          <w:color w:val="auto"/>
        </w:rPr>
        <w:t>. Technical support will be available starting at 9:45 a.m. Eastern Time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April 29, 2022, will be entitled to vote at the meeting. On this record date, there were 68,061,063 shares of Class A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on April 29, 2022, your shares were registered directly in your name with our transfer agent, American Stock Transfer &amp; Trust Company, LLC, then you are a stockholder of record. As a stockholder of record, you may vote online during the meeting or vote by proxy. Whether or not you plan to attend the meeting, we urge you to vote by proxy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April 29, 2022,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similar organization regarding how to vote the shares in your account. You are also invited to attend the virtual annual meeting. Since you are not the stockholder of record, you may vote your shares online during the meeting only by following the instructions from your broker, bank or other similar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three Class II directors, each to serve until our annual meeting of stockholders in 2025;</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Approval, on a non-binding advisory basis, of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Ratification of the selection of PricewaterhouseCoopers LLP as our independent registered public accounting firm for the fiscal year ending January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 online during the meeting, or (b) in advance of the meeting by 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980" w:hanging="324"/>
        <w:spacing w:after="0" w:line="284"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follow the provided instructions to join the meeting at </w:t>
      </w:r>
      <w:r>
        <w:rPr>
          <w:rFonts w:ascii="Times New Roman" w:cs="Times New Roman" w:eastAsia="Times New Roman" w:hAnsi="Times New Roman"/>
          <w:sz w:val="18"/>
          <w:szCs w:val="18"/>
          <w:i w:val="1"/>
          <w:iCs w:val="1"/>
          <w:color w:val="auto"/>
        </w:rPr>
        <w:t>www.virtualshareholdermeeting.com/MDB2022,</w:t>
      </w:r>
      <w:r>
        <w:rPr>
          <w:rFonts w:ascii="Times New Roman" w:cs="Times New Roman" w:eastAsia="Times New Roman" w:hAnsi="Times New Roman"/>
          <w:sz w:val="18"/>
          <w:szCs w:val="18"/>
          <w:color w:val="auto"/>
        </w:rPr>
        <w:t xml:space="preserve"> starting at 10:00 a.m. Eastern Time on June 28, 2022. The webcast will open 15 minutes before the start of the meeting.</w:t>
      </w:r>
    </w:p>
    <w:p>
      <w:pPr>
        <w:spacing w:after="0" w:line="50"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by the internet before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asked to provide the company number and control number from the Notice or the printed proxy card. Your internet vote must be received by 11:59 p.m., Eastern Time on June 27, 2022 to be counted.</w:t>
      </w:r>
    </w:p>
    <w:p>
      <w:pPr>
        <w:spacing w:after="0" w:line="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before the meeting, call 1-800-690-6903. You will be asked to provide the company number and control number from the Notice or the printed proxy card. Your telephone vote must be received by 11:59 p.m., Eastern Time on June 27, 2022 to be counted.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before the meeting, simply complete, sign and date the proxy card that you may request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similar organization, you should receive a Notice containing voting instructions from that organization rather than from us. Simply follow the voting instructions in the Notice to ensure that your vote is counted. To vote online during the meeting, you must follow the instructions from your broker, bank or other similar organization.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Internet voting is provided to allow you to vote your shares online, with procedures designed to ensure the authenticity and correctness of your voting instructions. Please be aware that you must bear any costs associated with your internet access.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If you are a record holder of shares, you may revoke, subject to the voting deadlines above, your proxy using one of the following ways: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499 Hamilton Ave, Palo Alto, CA 94301, Attention: Secretary.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online during the meeting. Simply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held by your broker, bank or other similar organization, you should follow the instructions provided by such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online during the meeting, or in advance of the meeting through the internet, by telephone or by completing your proxy card, your shares will not be voted.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similar organization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governance proposals, even if management-supported. Accordingly, your broker or nominee may not vote your shares on Proposal 1 or 2 without your instructions. Your broker or nominee may only vote your shares on Proposal 3 (Ratification of Auditors) in the absence of your instruction.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instruct your bank, broker or other similar organization to ensure that your vote will be counted.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but do not make specific choices, your shares will be voted in accordance with the recommendations of our board of directors as follows:</w:t>
      </w:r>
    </w:p>
    <w:p>
      <w:pPr>
        <w:spacing w:after="0" w:line="15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Class II director;</w:t>
      </w:r>
    </w:p>
    <w:p>
      <w:pPr>
        <w:spacing w:after="0" w:line="117"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w:t>
      </w:r>
    </w:p>
    <w:p>
      <w:pPr>
        <w:spacing w:after="0" w:line="46"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PricewaterhouseCoopers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January 31, 2023.</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will have the right to one vote per share of common stock. Cumulative voting is not permitted with respect to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5" w:lineRule="exact"/>
        <w:rPr>
          <w:sz w:val="20"/>
          <w:szCs w:val="20"/>
          <w:color w:val="auto"/>
        </w:rPr>
      </w:pPr>
    </w:p>
    <w:p>
      <w:pPr>
        <w:ind w:left="980" w:hanging="324"/>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Directors</w:t>
      </w:r>
      <w:r>
        <w:rPr>
          <w:rFonts w:ascii="Times New Roman" w:cs="Times New Roman" w:eastAsia="Times New Roman" w:hAnsi="Times New Roman"/>
          <w:sz w:val="18"/>
          <w:szCs w:val="18"/>
          <w:color w:val="auto"/>
        </w:rPr>
        <w:t>: Each director is elected by a plurality of the votes cast. The three nominees for Class II directors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will be elected.</w:t>
      </w:r>
    </w:p>
    <w:p>
      <w:pPr>
        <w:spacing w:after="0" w:line="4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Advisory Vote on the Compensation of our Named Executive Officers</w:t>
      </w:r>
      <w:r>
        <w:rPr>
          <w:rFonts w:ascii="Times New Roman" w:cs="Times New Roman" w:eastAsia="Times New Roman" w:hAnsi="Times New Roman"/>
          <w:sz w:val="18"/>
          <w:szCs w:val="18"/>
          <w:color w:val="auto"/>
        </w:rPr>
        <w:t xml:space="preserve">: This proposal, commonly referred to as the “say-on-pay” vote,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from the holders of a majority in voting power of the shares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7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Ratification of Auditors</w:t>
      </w:r>
      <w:r>
        <w:rPr>
          <w:rFonts w:ascii="Times New Roman" w:cs="Times New Roman" w:eastAsia="Times New Roman" w:hAnsi="Times New Roman"/>
          <w:sz w:val="18"/>
          <w:szCs w:val="18"/>
          <w:color w:val="auto"/>
        </w:rPr>
        <w:t>: The ratification of the selection of our independent registered public accounting firm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in voting power of the shares present at the meeting (by virtual attendance) or represented by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entitled to vote on the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your shares of voting common stock are held by a broker on your behalf, and you do not instruct the broker as to how to vote these shares on Proposal 3, the broker may exercise its discretion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that proposal in the absence of your instruction. With respect to Proposals 1 and 2, the broker may not exercise discretion to vote on those proposals. Such event would constitute a “broker non-vote,” and these shares will not be counted as having been voted on the applicable proposal. However, broker non-votes will be considered present and entitled to vote at the meeting and will be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3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counted in determining whether or not a quorum is present. Please instruct your broker so your vote can be counted.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stockholders abstain from voting, the applicable shares of voting common stock will be considered present and entitled to vote at the meeting and will be counted in determining whether or not a quorum is present. With respect to Proposal 1, abstentions will have no effect in determining whether a nominee for director has received sufficient votes. With respect to Proposals 2 and 3, abstentions are considered in determining the number of votes required to obtain the necessary majority vote for the proposal and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organizations for the cost of forwarding proxy materials to beneficial owners. We engaged Alliance Advisors to assist us with our shareholder engagement process, and we may pay them an estimated fee of $25,000, plus reasonable out-of-pocket expenses if they assist us in soliciting proxies. We may also reimburse brokerage firms, banks and other agents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instructions on the Notices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or nomination must be submitted in writing by January 17, 2023, to our Secretary at 499 Hamilton Ave, Palo Alto, CA 94301, Attention: Secretary; provided that, if the date of next year’s meeting is earlier than May 29, 2023 or later than July 28, 2023, the deadline will be a reasonable time before we begin to print and send our proxy materials for next year’s meeting. If you wish to nominate a director or submit a proposal that you do not desire to be included in next year’s proxy materials, you must do so between February 28, 2023 and March 30, 2023; provided that if the date of that annual meeting of stockholders is earlier than May 29, 2023 or later than July 28, 2023, you must give the required notice not earlier than the 120th day prior to the meeting date and not later than the 90th day prior to the meeting date or, if later, the 10th day following the day on which public disclosure of that meeting date is first made. You are also advised to review our amended and restated bylaws, which contain additional requirements about advance notice of stockholder proposals and director nominations.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 majority of the aggregate voting power of the outstanding shares of common stock entitled to vote at the meeting are present at the meeting (by virtual attendance) or represented by proxy.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Instructions to “withhold” authority to vote in the election of directors, abstentions and broker non-votes will be counted as present for determining whether the quorum requirement has been met. If there is no quorum, the holders of a majority of the aggregate voting power of shares present at the meeting (by virtual attendance) or represented by proxy may adjourn the meeting to another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preliminary voting results will be announced during the meeting. In addition, final voting results will be published in a current report on Form 8-K that we expect to file within four business days after the meeting.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Our board of directors is responsible for advancing the interests of the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 the framework for the governance of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good corporate governance promotes the long-term interests of our stockholders, strengthens Board and management accountability and leads to better business performance. To achieve these benefits, we maintain the following strong corporate governance practices:</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board committee members;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out of nine current directors are independent under the applicable rules and regulations of the SEC and the listing requirements and rules of the Nasdaq;</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Chairperson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risk oversight;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our executive officers and non-employee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 back policy;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for Directors, Officers and Employees;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containing hedging and pledging prohibitions;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vote;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gross ups and limited executive perquisites; and</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our fiscal year 2022, our board of directors attended greater than 75% of meetings of the board of directors and committees of which he or she was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(the “Nasdaq”). Under the listing requirements and rules of the Nasdaq, independent directors must comprise a majority of our board of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Our board of directors has determined that Mses. Agrawal and Cochran, and Messrs. Botha, D’Souza, Hazard, Killalea and McMahon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Mr. Ittycheria is not independent due to his position as an executive officer of MongoDB and Mr. Merriman is not independent due to his prior employment relationship with our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of directors considered the applicable Nasdaq rules and the current and prior relationships that each non-employee director has with our company and all other facts and circumstances our board of directors deemed relevant in determining their independence, including their beneficial ownership of our common stock.</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36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an appropriate meeting schedule for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meeting agendas for our board of directors;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President and Chief Executive Officer feedback on the quality, quantity and timeliness of the information provided to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agenda and moderate executive sessions of the independent members of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over meetings of our board of directors when the President and Chief Executive Officer is not present or when our board of directors’ or President and Chief Executive Officer’s performance is discussed;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principal liaison between the independent members of our board of directors and the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meetings of the independent directors as appropriate;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and direct communication with stockholders as deemed appropriate;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our board of directors may determine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current board leadership structure, coupled with a strong emphasis on board independence, provides effective independent oversight of management while allowing the board of directors and management to benefit from the extensive executive leadership and operational experience of Mr. Ittycheria. Non-employee directors and management sometimes have different perspectives and roles in strategy development. Our non-employee directors bring experience, oversight and expertise from outside of our company, while Mr. Ittycheria brings company-specific experience and expertise.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further promote strong board leadership and corporate governance, we conduct annual self-evaluations of our board of directors and committees, which are overseen by our nominating and corporate governance committee. Our nominating and corporate governance committee also oversees a self-assessment of each individual director whose term of office ends in any given year prior to nominating such director for re-election.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Risk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our board of directors addresses the primary risks associated with our business including, for example, strategic planning, liquidity risk, organizational risk and operational risk. In addition, our board of directors provides oversight of and monitors management’s response to emerging risks and their potential impact on our business. For example, in fiscal years 2021 and 2022, our board received regular updates from the management team on the ongoing COVID-19 pandemic and was involved in strategic decisions related to its potential impact on our business and risk mitigation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Risk Oversight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audit committee has the responsibility to consider and discuss our major financial and security risk exposures and the steps our management has taken to monitor and mitigate these exposures, including guidelines and policies to govern the process by which risk assessment and management is undertaken. Our audit committee also monitors compliance with legal and regulatory requirements. Our audit committee further oversees initiatives related to cybersecurity, including prevention of attacks and monitoring of our systems. In addition, among other matters, management provides our audit committee periodic reports on our compliance programs and investment policy and practices.</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and monitors whether any of our compensation policies and programs has the potential to encourage excessive risk-taking. The compensation committee also oversees risks relating to the recruiting and retention of our executive officers and our broader compensation philosophy.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board of directors succession risks.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Oversight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and audit committee appreciate the rapidly evolving nature of threats presented by cybersecurity incidents and are committed to the prevention, timely detection and mitigation of the effects of such incidents on MongoDB. As part of its cybersecurity risk oversight role, the audit committee receives regular updates on cybersecurity threats to our business and mitigation processes. In addition, on a quarterly basis, certain members of our board of directors meet with our Chief Information and Security Officer and other senior executives to perform more in-depth reviews of relevant cybersecurity matters and report back to the audit committee regarding the matters reviewed.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meets periodically during the year to review significant developments affecting us and to act on matters requiring the approval of our board of directors. Our board of directors met 6 times during our last fiscal year, and each of our current directors attended at least 75% of the aggregate number of meetings of the board of directors and of the committees on which he or she served, held during the portion of the last fiscal year for which he or she was a director or committee member. We encourage our directors and nominees for director to attend our annual meeting of stockholders. Seven of our directors attended our 2021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Committee Membership as of May 17, 2022</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189"/>
        </w:trPr>
        <w:tc>
          <w:tcPr>
            <w:tcW w:w="27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520" w:type="dxa"/>
            <w:vAlign w:val="bottom"/>
            <w:tcBorders>
              <w:top w:val="single" w:sz="8" w:color="auto"/>
            </w:tcBorders>
          </w:tcPr>
          <w:p>
            <w:pPr>
              <w:jc w:val="center"/>
              <w:ind w:left="163"/>
              <w:spacing w:after="0" w:line="189" w:lineRule="exact"/>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520" w:type="dxa"/>
            <w:vAlign w:val="bottom"/>
            <w:vMerge w:val="restart"/>
          </w:tcPr>
          <w:p>
            <w:pPr>
              <w:jc w:val="center"/>
              <w:ind w:left="163"/>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0" w:type="dxa"/>
            <w:vAlign w:val="bottom"/>
          </w:tcPr>
          <w:p>
            <w:pPr>
              <w:spacing w:after="0"/>
              <w:rPr>
                <w:sz w:val="1"/>
                <w:szCs w:val="1"/>
                <w:color w:val="auto"/>
              </w:rPr>
            </w:pPr>
          </w:p>
        </w:tc>
      </w:tr>
      <w:tr>
        <w:trPr>
          <w:trHeight w:val="92"/>
        </w:trPr>
        <w:tc>
          <w:tcPr>
            <w:tcW w:w="27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2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166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center"/>
              <w:ind w:left="299"/>
              <w:spacing w:after="0" w:line="221" w:lineRule="exact"/>
              <w:rPr>
                <w:sz w:val="20"/>
                <w:szCs w:val="20"/>
                <w:color w:val="auto"/>
              </w:rPr>
            </w:pPr>
            <w:r>
              <w:rPr>
                <w:rFonts w:ascii="MS PGothic" w:cs="MS PGothic" w:eastAsia="MS PGothic" w:hAnsi="MS PGothic"/>
                <w:sz w:val="22"/>
                <w:szCs w:val="22"/>
                <w:color w:val="auto"/>
                <w:w w:val="81"/>
              </w:rPr>
              <w:t>✔</w:t>
            </w:r>
          </w:p>
        </w:tc>
        <w:tc>
          <w:tcPr>
            <w:tcW w:w="25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1660" w:type="dxa"/>
            <w:vAlign w:val="bottom"/>
            <w:tcBorders>
              <w:bottom w:val="single" w:sz="8" w:color="auto"/>
            </w:tcBorders>
          </w:tcPr>
          <w:p>
            <w:pPr>
              <w:jc w:val="center"/>
              <w:ind w:right="141"/>
              <w:spacing w:after="0" w:line="221" w:lineRule="exact"/>
              <w:rPr>
                <w:sz w:val="20"/>
                <w:szCs w:val="20"/>
                <w:color w:val="auto"/>
              </w:rPr>
            </w:pPr>
            <w:r>
              <w:rPr>
                <w:rFonts w:ascii="MS PGothic" w:cs="MS PGothic" w:eastAsia="MS PGothic" w:hAnsi="MS PGothic"/>
                <w:sz w:val="22"/>
                <w:szCs w:val="22"/>
                <w:color w:val="auto"/>
                <w:w w:val="81"/>
              </w:rPr>
              <w:t>✔</w:t>
            </w:r>
          </w:p>
        </w:tc>
        <w:tc>
          <w:tcPr>
            <w:tcW w:w="2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166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2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shd w:val="clear" w:color="auto" w:fill="CCEEFF"/>
          </w:tcPr>
          <w:p>
            <w:pPr>
              <w:spacing w:after="0"/>
              <w:rPr>
                <w:sz w:val="5"/>
                <w:szCs w:val="5"/>
                <w:color w:val="auto"/>
              </w:rPr>
            </w:pPr>
          </w:p>
        </w:tc>
        <w:tc>
          <w:tcPr>
            <w:tcW w:w="2180" w:type="dxa"/>
            <w:vAlign w:val="bottom"/>
            <w:tcBorders>
              <w:bottom w:val="single" w:sz="8" w:color="auto"/>
            </w:tcBorders>
            <w:shd w:val="clear" w:color="auto" w:fill="CCEEFF"/>
          </w:tcPr>
          <w:p>
            <w:pPr>
              <w:spacing w:after="0"/>
              <w:rPr>
                <w:sz w:val="5"/>
                <w:szCs w:val="5"/>
                <w:color w:val="auto"/>
              </w:rPr>
            </w:pPr>
          </w:p>
        </w:tc>
        <w:tc>
          <w:tcPr>
            <w:tcW w:w="25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20" w:type="dxa"/>
            <w:vAlign w:val="bottom"/>
          </w:tcPr>
          <w:p>
            <w:pPr>
              <w:jc w:val="center"/>
              <w:ind w:left="163"/>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1660" w:type="dxa"/>
            <w:vAlign w:val="bottom"/>
            <w:tcBorders>
              <w:bottom w:val="single" w:sz="8" w:color="CCEEFF"/>
            </w:tcBorders>
            <w:shd w:val="clear" w:color="auto" w:fill="CCEEFF"/>
          </w:tcPr>
          <w:p>
            <w:pPr>
              <w:jc w:val="center"/>
              <w:ind w:right="141"/>
              <w:spacing w:after="0" w:line="221" w:lineRule="exact"/>
              <w:rPr>
                <w:sz w:val="20"/>
                <w:szCs w:val="20"/>
                <w:color w:val="auto"/>
              </w:rPr>
            </w:pPr>
            <w:r>
              <w:rPr>
                <w:rFonts w:ascii="MS PGothic" w:cs="MS PGothic" w:eastAsia="MS PGothic" w:hAnsi="MS PGothic"/>
                <w:sz w:val="22"/>
                <w:szCs w:val="22"/>
                <w:color w:val="222222"/>
                <w:w w:val="81"/>
              </w:rPr>
              <w:t>✔</w:t>
            </w:r>
          </w:p>
        </w:tc>
        <w:tc>
          <w:tcPr>
            <w:tcW w:w="218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66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7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166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center"/>
              <w:ind w:left="299"/>
              <w:spacing w:after="0" w:line="221" w:lineRule="exact"/>
              <w:rPr>
                <w:sz w:val="20"/>
                <w:szCs w:val="20"/>
                <w:color w:val="auto"/>
              </w:rPr>
            </w:pPr>
            <w:r>
              <w:rPr>
                <w:rFonts w:ascii="MS PGothic" w:cs="MS PGothic" w:eastAsia="MS PGothic" w:hAnsi="MS PGothic"/>
                <w:sz w:val="22"/>
                <w:szCs w:val="22"/>
                <w:color w:val="222222"/>
                <w:w w:val="81"/>
              </w:rPr>
              <w:t>✔</w:t>
            </w:r>
          </w:p>
        </w:tc>
        <w:tc>
          <w:tcPr>
            <w:tcW w:w="2520" w:type="dxa"/>
            <w:vAlign w:val="bottom"/>
            <w:tcBorders>
              <w:bottom w:val="single" w:sz="8" w:color="auto"/>
            </w:tcBorders>
            <w:shd w:val="clear" w:color="auto" w:fill="CCEEFF"/>
          </w:tcPr>
          <w:p>
            <w:pPr>
              <w:jc w:val="center"/>
              <w:ind w:left="163"/>
              <w:spacing w:after="0" w:line="221" w:lineRule="exact"/>
              <w:rPr>
                <w:sz w:val="20"/>
                <w:szCs w:val="20"/>
                <w:color w:val="auto"/>
              </w:rPr>
            </w:pPr>
            <w:r>
              <w:rPr>
                <w:rFonts w:ascii="MS PGothic" w:cs="MS PGothic" w:eastAsia="MS PGothic" w:hAnsi="MS PGothic"/>
                <w:sz w:val="22"/>
                <w:szCs w:val="22"/>
                <w:color w:val="222222"/>
                <w:w w:val="81"/>
              </w:rPr>
              <w:t>✔</w:t>
            </w:r>
          </w:p>
        </w:tc>
        <w:tc>
          <w:tcPr>
            <w:tcW w:w="0" w:type="dxa"/>
            <w:vAlign w:val="bottom"/>
          </w:tcPr>
          <w:p>
            <w:pPr>
              <w:spacing w:after="0"/>
              <w:rPr>
                <w:sz w:val="1"/>
                <w:szCs w:val="1"/>
                <w:color w:val="auto"/>
              </w:rPr>
            </w:pPr>
          </w:p>
        </w:tc>
      </w:tr>
      <w:tr>
        <w:trPr>
          <w:trHeight w:val="290"/>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McMahon</w:t>
            </w:r>
          </w:p>
        </w:tc>
        <w:tc>
          <w:tcPr>
            <w:tcW w:w="16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left="299"/>
              <w:spacing w:after="0" w:line="221" w:lineRule="exact"/>
              <w:rPr>
                <w:sz w:val="20"/>
                <w:szCs w:val="20"/>
                <w:color w:val="auto"/>
              </w:rPr>
            </w:pPr>
            <w:r>
              <w:rPr>
                <w:rFonts w:ascii="MS PGothic" w:cs="MS PGothic" w:eastAsia="MS PGothic" w:hAnsi="MS PGothic"/>
                <w:sz w:val="22"/>
                <w:szCs w:val="22"/>
                <w:color w:val="222222"/>
                <w:w w:val="81"/>
              </w:rPr>
              <w:t>✔</w:t>
            </w: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166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FY2022 Meetings</w:t>
            </w:r>
          </w:p>
        </w:tc>
        <w:tc>
          <w:tcPr>
            <w:tcW w:w="1660" w:type="dxa"/>
            <w:vAlign w:val="bottom"/>
            <w:tcBorders>
              <w:top w:val="single" w:sz="8" w:color="auto"/>
              <w:bottom w:val="single" w:sz="8" w:color="auto"/>
            </w:tcBorders>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180" w:type="dxa"/>
            <w:vAlign w:val="bottom"/>
            <w:tcBorders>
              <w:top w:val="single" w:sz="8" w:color="auto"/>
              <w:bottom w:val="single" w:sz="8" w:color="auto"/>
            </w:tcBorders>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520" w:type="dxa"/>
            <w:vAlign w:val="bottom"/>
            <w:tcBorders>
              <w:top w:val="single" w:sz="8" w:color="auto"/>
              <w:bottom w:val="single" w:sz="8" w:color="auto"/>
            </w:tcBorders>
          </w:tcPr>
          <w:p>
            <w:pPr>
              <w:jc w:val="center"/>
              <w:ind w:left="163"/>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-1671320</wp:posOffset>
            </wp:positionV>
            <wp:extent cx="1714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-1431290</wp:posOffset>
            </wp:positionV>
            <wp:extent cx="1714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-1191260</wp:posOffset>
            </wp:positionV>
            <wp:extent cx="1714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76835</wp:posOffset>
            </wp:positionV>
            <wp:extent cx="1714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Chairperson</w:t>
      </w:r>
    </w:p>
    <w:p>
      <w:pPr>
        <w:spacing w:after="0" w:line="104" w:lineRule="exact"/>
        <w:rPr>
          <w:sz w:val="20"/>
          <w:szCs w:val="20"/>
          <w:color w:val="auto"/>
        </w:rPr>
      </w:pPr>
    </w:p>
    <w:p>
      <w:pPr>
        <w:ind w:left="500" w:hanging="440"/>
        <w:spacing w:after="0"/>
        <w:tabs>
          <w:tab w:leader="none" w:pos="500" w:val="left"/>
        </w:tabs>
        <w:numPr>
          <w:ilvl w:val="0"/>
          <w:numId w:val="13"/>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Member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may also act by unanimous written consent in lieu of a formal meeting from time to time. The agenda for each meeting is usually developed by the chairperson of the audit committee, in consultation with management.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176" w:lineRule="exact"/>
        <w:rPr>
          <w:sz w:val="20"/>
          <w:szCs w:val="20"/>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 systems of internal control and financial statement audits;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organization and performance of our internal audit function;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36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Ms. Agrawal and Messrs. D’Souza, Killalea and McMahon. The chair of our compensation committee is Mr. D’Souza. Our board of directors has determined that Ms. Agrawal and Messrs. D’Souza, Killalea and McMahon are independent under Nasdaq listing standards, are “non-employee directors” as defined in Rule 16b-3 promulgated under the Exchange Act and are “outside directors” as that term is defined in Section 162(m).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76" w:lineRule="exact"/>
        <w:rPr>
          <w:sz w:val="20"/>
          <w:szCs w:val="20"/>
          <w:color w:val="auto"/>
        </w:rPr>
      </w:pPr>
    </w:p>
    <w:p>
      <w:pPr>
        <w:ind w:left="980" w:right="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performance goals and objectives for our Chief Executive Officer and other executive officers, taking into account the policies of the compensation committee;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disclosures in the section titled “Compensation Discussion and Analysis” of this proxy statement;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compensatory arrangements of our executive officers and other senior management;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terminating and administering incentive compensation and stock and equity incentive plans and other benefit programs;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at least quarterly and with greater frequency as necessary. The compensation committee may also act by unanimous written consent in lieu of a formal meeting from time to time. The agenda for each meeting is usually developed by the chairperson of the compensation committee, in consultation with management. The compensation committee may also meet in executive session on an ad hoc basis.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36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after taking into consideration certain factors prescribed by the SEC and the Nasdaq, that bear upon the adviser’s independence; however, there is no requirement that any adviser be independent.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MongoDB’s compensation strategy, potential modifications to that strategy and new trends, plans or approaches to compensation, periodically throughout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Ms. Agrawal or Messrs. D’Souza, Killalea or McMahon, the members of the compensation committee, is currently one of our officers or employees or has at any time been one of our officers or employees or has had any relationship requiring disclosure under Item 404 of Regulations S-K.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may also act by unanimous written consent in lieu of a formal meeting from time to time. The agenda for each meeting is usually developed by the chairperson of the nominating and corporate governance committee, in consultation with management.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our board of directors, including committees of the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directors and orientation of new directors;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MongoDB’s stockholders. These minimum qualifications may be modified from time to time. The committee typically considers potential conflicts of interest, director independence, diversity, age, skills and such other factors as it deems appropriate, given the current needs of our board of directors and the company, to maintain a balance of knowledge, experience and capability.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so long as they comply with applicable law and our amended and restated bylaws, which procedures are summarized below,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499 Hamilton Ave, Palo Alto, CA 94301 at least 120 days prior to the anniversary date of the mailing of our proxy statement for the last annual meeting of stockholders.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Each submission must include, among other things, the name, age, business address and residence address of the proposed candidate, the principal occupation or employment of the proposed candidate, details of the proposed candidate’s ownership of MongoDB’s common stock, a description of the proposed candidate’s business experience for at least the last five years, and a description of the proposed candidate’s qualifications as a director. Any such submission must be accompanied by the written consent of the proposed candidate to be named as a nominee and to serve as a director if elected.</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You should refer to our amended and restated bylaws for a complete description of the required procedures for nominating a candidate to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table below summarizes certain self-identified characteristics of our board of directors as of May 17, 2022, in accordance with Nasdaq listing rules 5605(f) and 5606. Each term used in the table has the meaning given to it in the rule and related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40575" cy="258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258064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May 17, 2022)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3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4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3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20" w:type="dxa"/>
            <w:vAlign w:val="bottom"/>
            <w:tcBorders>
              <w:bottom w:val="single" w:sz="8" w:color="auto"/>
            </w:tcBorders>
          </w:tcPr>
          <w:p>
            <w:pPr>
              <w:spacing w:after="0"/>
              <w:rPr>
                <w:sz w:val="21"/>
                <w:szCs w:val="21"/>
                <w:color w:val="auto"/>
              </w:rPr>
            </w:pPr>
          </w:p>
        </w:tc>
      </w:tr>
      <w:tr>
        <w:trPr>
          <w:trHeight w:val="250"/>
        </w:trPr>
        <w:tc>
          <w:tcPr>
            <w:tcW w:w="4260" w:type="dxa"/>
            <w:vAlign w:val="bottom"/>
            <w:tcBorders>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40" w:type="dxa"/>
            <w:vAlign w:val="bottom"/>
            <w:tcBorders>
              <w:bottom w:val="single" w:sz="8" w:color="auto"/>
              <w:right w:val="single" w:sz="8" w:color="CCEEFF"/>
            </w:tcBorders>
            <w:shd w:val="clear" w:color="auto" w:fill="CCEEFF"/>
          </w:tcPr>
          <w:p>
            <w:pPr>
              <w:spacing w:after="0"/>
              <w:rPr>
                <w:sz w:val="21"/>
                <w:szCs w:val="21"/>
                <w:color w:val="auto"/>
              </w:rPr>
            </w:pPr>
          </w:p>
        </w:tc>
        <w:tc>
          <w:tcPr>
            <w:tcW w:w="1280" w:type="dxa"/>
            <w:vAlign w:val="bottom"/>
            <w:tcBorders>
              <w:bottom w:val="single" w:sz="8" w:color="auto"/>
              <w:right w:val="single" w:sz="8" w:color="CCEEFF"/>
            </w:tcBorders>
            <w:shd w:val="clear" w:color="auto" w:fill="CCEEFF"/>
          </w:tcPr>
          <w:p>
            <w:pPr>
              <w:spacing w:after="0"/>
              <w:rPr>
                <w:sz w:val="21"/>
                <w:szCs w:val="21"/>
                <w:color w:val="auto"/>
              </w:rPr>
            </w:pPr>
          </w:p>
        </w:tc>
        <w:tc>
          <w:tcPr>
            <w:tcW w:w="1260" w:type="dxa"/>
            <w:vAlign w:val="bottom"/>
            <w:tcBorders>
              <w:bottom w:val="single" w:sz="8" w:color="auto"/>
              <w:right w:val="single" w:sz="8" w:color="CCEEFF"/>
            </w:tcBorders>
            <w:shd w:val="clear" w:color="auto" w:fill="CCEEFF"/>
          </w:tcPr>
          <w:p>
            <w:pPr>
              <w:spacing w:after="0"/>
              <w:rPr>
                <w:sz w:val="21"/>
                <w:szCs w:val="21"/>
                <w:color w:val="auto"/>
              </w:rPr>
            </w:pPr>
          </w:p>
        </w:tc>
        <w:tc>
          <w:tcPr>
            <w:tcW w:w="32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4"/>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0"/>
                <w:szCs w:val="20"/>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3"/>
        </w:trPr>
        <w:tc>
          <w:tcPr>
            <w:tcW w:w="4260" w:type="dxa"/>
            <w:vAlign w:val="bottom"/>
            <w:tcBorders>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40" w:type="dxa"/>
            <w:vAlign w:val="bottom"/>
            <w:tcBorders>
              <w:bottom w:val="single" w:sz="8" w:color="auto"/>
              <w:right w:val="single" w:sz="8" w:color="CCEEFF"/>
            </w:tcBorders>
            <w:shd w:val="clear" w:color="auto" w:fill="CCEEFF"/>
          </w:tcPr>
          <w:p>
            <w:pPr>
              <w:spacing w:after="0"/>
              <w:rPr>
                <w:sz w:val="21"/>
                <w:szCs w:val="21"/>
                <w:color w:val="auto"/>
              </w:rPr>
            </w:pPr>
          </w:p>
        </w:tc>
        <w:tc>
          <w:tcPr>
            <w:tcW w:w="1280" w:type="dxa"/>
            <w:vAlign w:val="bottom"/>
            <w:tcBorders>
              <w:bottom w:val="single" w:sz="8" w:color="auto"/>
              <w:right w:val="single" w:sz="8" w:color="CCEEFF"/>
            </w:tcBorders>
            <w:shd w:val="clear" w:color="auto" w:fill="CCEEFF"/>
          </w:tcPr>
          <w:p>
            <w:pPr>
              <w:spacing w:after="0"/>
              <w:rPr>
                <w:sz w:val="21"/>
                <w:szCs w:val="21"/>
                <w:color w:val="auto"/>
              </w:rPr>
            </w:pPr>
          </w:p>
        </w:tc>
        <w:tc>
          <w:tcPr>
            <w:tcW w:w="1260" w:type="dxa"/>
            <w:vAlign w:val="bottom"/>
            <w:tcBorders>
              <w:bottom w:val="single" w:sz="8" w:color="auto"/>
              <w:right w:val="single" w:sz="8" w:color="CCEEFF"/>
            </w:tcBorders>
            <w:shd w:val="clear" w:color="auto" w:fill="CCEEFF"/>
          </w:tcPr>
          <w:p>
            <w:pPr>
              <w:spacing w:after="0"/>
              <w:rPr>
                <w:sz w:val="21"/>
                <w:szCs w:val="21"/>
                <w:color w:val="auto"/>
              </w:rPr>
            </w:pPr>
          </w:p>
        </w:tc>
        <w:tc>
          <w:tcPr>
            <w:tcW w:w="32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4"/>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20" w:top="369"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since the beginning of our last fiscal year, to which we have been a participant, in which the amount involved exceeded or will exceed $120,000 and in which any of our directors, executive officers or holders of more than five percent (5%) of our common stock, or any member of the immediate family of the foregoing persons,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party to an investor rights agreement with certain holders of our common stock, including Dwight Merriman (a member of our board of directors), that provided or provides such holders with certain registration rights, including the right to demand that we file a registration statement or request that their shares be covered by a registration statement that we are otherwise filing subject to certain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and Equity Grants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offer letters or employment agreements with our executive officers. For more information regarding these arrangements, see the section titled “Employment, Severance and Change in Control Agreements.”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our executive officers and members of our board of directors. For a description of these equity awards, see the sections titled “Executive Compensation” and “Board of Directors and Corporate Governance - Director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the board of directors. In addition, we have entered into an indemnification agreement with each of our directors and executive officers, which requires us to indemnify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holders of more than five percent (5%) of our common stock,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Conduct and Ethics, applicable amendments thereto and waivers thereof, and our Corporate Governance Guidelines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or interested parties who wish to communicate with our board of directors or with an individual director may do so by mail to our board of directors or the individual director, care of our Secretary at 499 Hamilton Ave, Palo Alto, CA 94301, Attention: Secretary. The communication should indicate that it contains a stockholder or interested 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employees and the culture we have established are critically important to our success. In order to continue to compete and succeed in our highly competitive and rapidly evolving market, it is crucial that we continue to attract, retain and motivate qualified employees. To support these objectives, we strive to maintain our company culture, offer competitive compensation and benefits, support the health and well-being of our employees, foster an inclusive, diverse and engaged workforce and develop talent.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2022, we had a total of 3,544 employees, including 1,640 employees located outside the United States. None of our employees are represented by a labor union or covered by a collective bargaining agreement. We have not experienced any work stoppages and we consider our relations with our employees to be good. See also “─ESG Highlights,” below for additional information related to human capital management.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 and relevant and we have recently updated the language to ensure they stay relevant as we continue to evolve:</w:t>
      </w:r>
    </w:p>
    <w:p>
      <w:pPr>
        <w:spacing w:after="0" w:line="176" w:lineRule="exact"/>
        <w:rPr>
          <w:sz w:val="20"/>
          <w:szCs w:val="20"/>
          <w:color w:val="auto"/>
        </w:rPr>
      </w:pPr>
    </w:p>
    <w:p>
      <w:pPr>
        <w:ind w:left="980" w:right="20" w:hanging="324"/>
        <w:spacing w:after="0" w:line="28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Think Big, Go Far. </w:t>
      </w:r>
      <w:r>
        <w:rPr>
          <w:rFonts w:ascii="Times New Roman" w:cs="Times New Roman" w:eastAsia="Times New Roman" w:hAnsi="Times New Roman"/>
          <w:sz w:val="18"/>
          <w:szCs w:val="18"/>
          <w:color w:val="auto"/>
        </w:rPr>
        <w:t>We are big dreamers with a passion for creativity. We eagerly pursue new opportunities and markets through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disruption. We have a pioneering spirit—always ready to forge new paths and take smart risks.</w:t>
      </w:r>
    </w:p>
    <w:p>
      <w:pPr>
        <w:spacing w:after="0" w:line="46"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Make It Matter. </w:t>
      </w:r>
      <w:r>
        <w:rPr>
          <w:rFonts w:ascii="Times New Roman" w:cs="Times New Roman" w:eastAsia="Times New Roman" w:hAnsi="Times New Roman"/>
          <w:sz w:val="18"/>
          <w:szCs w:val="18"/>
          <w:color w:val="auto"/>
        </w:rPr>
        <w:t>We are relentless in our pursuit of meaningful impact. We think strategically and are clear on what we are and are not trying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We accomplish an amazing amount of important work and we are obsessed with delivering on our commitments.</w:t>
      </w:r>
    </w:p>
    <w:p>
      <w:pPr>
        <w:spacing w:after="0" w:line="4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Embrace the Power of Differences. </w:t>
      </w:r>
      <w:r>
        <w:rPr>
          <w:rFonts w:ascii="Times New Roman" w:cs="Times New Roman" w:eastAsia="Times New Roman" w:hAnsi="Times New Roman"/>
          <w:sz w:val="18"/>
          <w:szCs w:val="18"/>
          <w:color w:val="auto"/>
        </w:rPr>
        <w:t>We commit to creating a culture of belonging, where people of different origins, backgrounds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feel 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spacing w:after="0" w:line="68" w:lineRule="exact"/>
        <w:rPr>
          <w:rFonts w:ascii="Times New Roman" w:cs="Times New Roman" w:eastAsia="Times New Roman" w:hAnsi="Times New Roman"/>
          <w:sz w:val="18"/>
          <w:szCs w:val="18"/>
          <w:color w:val="auto"/>
        </w:rPr>
      </w:pPr>
    </w:p>
    <w:p>
      <w:pPr>
        <w:jc w:val="both"/>
        <w:ind w:left="980" w:right="20" w:hanging="324"/>
        <w:spacing w:after="0" w:line="268"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Together. </w:t>
      </w:r>
      <w:r>
        <w:rPr>
          <w:rFonts w:ascii="Times New Roman" w:cs="Times New Roman" w:eastAsia="Times New Roman" w:hAnsi="Times New Roman"/>
          <w:sz w:val="18"/>
          <w:szCs w:val="18"/>
          <w:color w:val="auto"/>
        </w:rPr>
        <w:t>We achieve amazing things by connecting and leveraging the diversity of perspectives, skills, experiences and backgrounds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entire organization. We place the interests of the company over any individual or team. We discuss things thoroughly, but prioritize commitment over consensus.</w:t>
      </w:r>
    </w:p>
    <w:p>
      <w:pPr>
        <w:spacing w:after="0" w:line="62"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 Intellectually Honest. </w:t>
      </w:r>
      <w:r>
        <w:rPr>
          <w:rFonts w:ascii="Times New Roman" w:cs="Times New Roman" w:eastAsia="Times New Roman" w:hAnsi="Times New Roman"/>
          <w:sz w:val="18"/>
          <w:szCs w:val="18"/>
          <w:color w:val="auto"/>
        </w:rPr>
        <w:t>We embrace reality. We apply high-quality thinking and rigor and operate with transparency. We have courage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convictions but work hard to ensure biases or personal beliefs do not get in the way of finding the best solution.</w:t>
      </w:r>
    </w:p>
    <w:p>
      <w:pPr>
        <w:spacing w:after="0" w:line="4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 What You Do. </w:t>
      </w:r>
      <w:r>
        <w:rPr>
          <w:rFonts w:ascii="Times New Roman" w:cs="Times New Roman" w:eastAsia="Times New Roman" w:hAnsi="Times New Roman"/>
          <w:sz w:val="18"/>
          <w:szCs w:val="18"/>
          <w:color w:val="auto"/>
        </w:rPr>
        <w:t>We take ownership and are accountable for everything that we do. We empower and we are empowered to make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and balance independence with interdependence. We demand excellence from ourselves. We each play our own part in making MongoDB a great place to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for our employees globally. Our compensation package may include base salary, commission or semi-annual bonuses and long-term equity awards. Broad-based equity compensation is an important tool for us to attract and retain talent. We generally grant full-time employees equity at the time of hire and annually thereafter, and we provide employees the opportunity to participate in an employee stock purchase plan, in order to foster a strong sense of ownership and align our employees’ interests with our long-term success.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cash and equity compensation, we also offer employees a wide array of benefits designed to be aligned with local reward practices and competitive with those offered by companies that we compete with for talent. In the United States, these include health (medical, dental and vision) insurance, paid time off, retirement benefits and additional resources to support employees' overall well-being. We also have a global parental leave program pursuant to which we provide 20 weeks of paid parental leave for new parents. While the philosophy around our benefits is the same worldwide, specific benefits may vary in other countries due to local regulations and preferences. Our three-year average annual burn rate from fiscal year 2020 through fiscal year 2022 has been 3.3%, which ranks between the median (2.8%) and 75th percentile (3.6%) of peer group practice, based on the November 2021 analysis of our compensation consultant Frederic W. Cook &amp; Co., Inc. (“FW Cook”), and well below the evergreen share replenishment factor of 5.0% of common shares outstanding. We determine our “burn rate” by dividing equity awards granted during the fiscal year by the number of shares outstanding.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health, safety and well-being of our employees is vital to our success. We have prioritized employee safety during the ongoing COVID-19 pandemic by ensuring all employees are properly enabled to work remotely and providing clarity on office closures and evolving guidelines. In addition, in response to the ongoing COVID-19 pandemic, we introduced caregiving leaves and promoted new and existing resources related to mental health. We also implemented a number of additional measures to support our employees, such as additional company-wide days off and wellness checks throughout the pandemic. As we look to reopen offices in many parts of the world, we are adopting a flexible and hybrid approach to working, to meet employee needs and the needs of the business. We continue to focus on mental well-being to help employees cope with the demands of a high growth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&amp; Inclusion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building a diverse workforce and a culture that reflects our value of embracing the power of differences to drive better business outcomes.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efforts to recruit a more diverse workforce by embedding the capability to recruit diverse talent within our entire recruiting organization and investing in diversity sourcing teams, diverse recruitment marketing campaigns and external partnerships. We are investing in the development of diverse high potential talent within MongoDB, and we are providing platforms for employees to have intellectually honest discussions about causes that matter to them. As part of our commitment to gender diversity, we have also pledged our commitment to the Corporate ParityPledge. See also “─ESG Highlights─Human Capital,”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 determine actionable steps based on survey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&amp; Leadership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Attracting, retaining and developing top talent remains a high priority for us as we continue to grow and scale. We continue to enhance our approach to performance and talent management through semi-annual reflection cycles, talent reviews and succession planning. We are increasing our focus on leadership development by establishing clear leadership principles and investing in building manager capability to lead through change and stress and to build culture within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capability building and learning programs are offered both live and online, run centrally or through the business units and span both technical skills and soft skills.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Framework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corporate governance and responsibility help advance the long-term interests of our company and stockholders. As a part of its primary duty to oversee corporate strategy, our Board of Directors also oversees how environmental and social issues may impact the long-term interests of stockholders and stakeholders. We champion the idea that corporate responsibility is part of every employee’s job, as we believe that achieving operational excellence is intrinsically tied to how responsibly we run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strategy and reporting is informed by analysis of:</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stockholder base, as well as prospective investors, to identify key sustainability issues emphasized by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feedback from employees to help determine which sustainability topics have the greatest impact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to identify sustainability policies, principles and practices of our peer companies and the best disclosure practices related to each;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the key factors evaluated by the most influential ratings agencies issuing ESG scores.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sustainability issues identified in the enterprise-wide risk management assessment conducted by our Board are critical to our long-term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MongoDB, we are focused on:</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Motivation and Retention: </w:t>
      </w:r>
      <w:r>
        <w:rPr>
          <w:rFonts w:ascii="Times New Roman" w:cs="Times New Roman" w:eastAsia="Times New Roman" w:hAnsi="Times New Roman"/>
          <w:sz w:val="18"/>
          <w:szCs w:val="18"/>
          <w:color w:val="auto"/>
        </w:rPr>
        <w:t>We provide competitive compensation and benefits for our employees globally to foster a strong sense of ownership. Broad-based equity compensation is an important tool for us to attract and retain talent. In addition, we believe that periodic equity grants and access to the employee stock purchase plan serve to align employees’ interests with our long-term success.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Continuous Growth: </w:t>
      </w:r>
      <w:r>
        <w:rPr>
          <w:rFonts w:ascii="Times New Roman" w:cs="Times New Roman" w:eastAsia="Times New Roman" w:hAnsi="Times New Roman"/>
          <w:sz w:val="18"/>
          <w:szCs w:val="18"/>
          <w:color w:val="auto"/>
        </w:rPr>
        <w:t>We believe that employee growth is essential for retaining talent, and we offer a number of resources and programs to support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We facilitate semi-annual employee self-reflection sessions where employees discuss their development with managers. We are increasing our focus on leadership development by establishing clear leadership principles and investing in building manager capability to lead through change and stress and to build culture within teams. We also provide and promote educational opportunities in three distinct forms:</w:t>
      </w:r>
    </w:p>
    <w:p>
      <w:pPr>
        <w:spacing w:after="0" w:line="180"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training that includes on-demand, self-guided courses as well as organized training sessions. In addition, we organize “Learnathons,” which are company-wide workshops covering a variety of topics. In our fiscal year ended January 31, 2022, we organized 44 sessions and workshops with over 1,000 attendees.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learning that involves internalizing and reflecting on one’s learnings as well as sharing and comparing experiences with peers.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On-the-job learning, which occurs through practicing new skills, solving problems, working through challenges, all with the support and feedback from one’s manager. We support on-the-job learning through a “Performance and Growth” feedback program, a bi-annual opportunity for structured feedback and goal-setting conversations between an employee and a manager. All full-time employees participate in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Prioritizing Wellness: </w:t>
      </w:r>
      <w:r>
        <w:rPr>
          <w:rFonts w:ascii="Times New Roman" w:cs="Times New Roman" w:eastAsia="Times New Roman" w:hAnsi="Times New Roman"/>
          <w:sz w:val="18"/>
          <w:szCs w:val="18"/>
          <w:color w:val="auto"/>
        </w:rPr>
        <w:t>We want employees to be fulfilled personally as well as professionally and, accordingly, we provide benefits that promote health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strong performance. Our benefits are structured for a holistic experience and are chosen according to our four pillars of well-being:</w:t>
      </w:r>
    </w:p>
    <w:p>
      <w:pPr>
        <w:spacing w:after="0" w:line="159"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well-being. We offer our employees access to highly comprehensive and competitive medical coverage in local markets, often covering the employee and dependent premiums. Our plans often include dental, optical, maternity, hospitalization and outpatient care, among other coverages. In an effort to promote healthy lifestyles, we also offer employees access to highly subsidized or discounted monthly gym and exercise class memberships.</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well-being. We believe that financial security is an enabler of creativity and productivity, which is why we offer retirement saving options for our employees, as well as benefits such as life insurance, disability insurance, critical illness and accident coverage.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Emotional well-being. Our employees and their families have 24-hour access to our Employee Assistance Program (“EAP”). Our EAP offers confidential guidance on matters such as family support, mental health and legal assistance. In addition, all employees receive a complimentary subscription to a meditation app, which provides hundreds of themed meditation sessions on everything from sleep to focus to reducing stress.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well-being. We provide global fertility benefits to our employees and their partners, including fertility care, adoption and surrogacy assistance. We feel strongly that parents should be able to share the responsibilities of caregiving and our parental leave policy gives all new parents at least 20 weeks of paid leave.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commitment to diversity and inclusion is unwavering. We are focused on creating an environment where all employees feel like they belong and can equitably advance and thrive. We believe this approach is in the interest of all our stakeholders.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Advancement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efforts to recruit a more diverse workforce by investing in diversity sourcing teams, adjusting our recruitment marketing campaigns and building key external partnerships. As signatories to the Corporate ParityPledge, we have committed to interview at least one qualified female candidate for every open role at the vice president level and above as well as for every additional directorship on our Board of Directors. Additionally, we have partnered with Advancing Women in Tech to create a mentorship program focused on accelerating the growth of women and non-binary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Community</w:t>
      </w:r>
    </w:p>
    <w:p>
      <w:pPr>
        <w:spacing w:after="0" w:line="25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Our employees have organically created affinity groups, such as The Underrepresented People of Color (TUPOC) Network, Underrepresented Genders in Tech, Queeries and MDBWomen to offer support, mentoring and networking opportunities, and help foster a welcoming and diverse workplace. Our affinity groups play an important role in our overall company culture by helping us raise awareness of issues unique to their members’ experiences.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it is our duty to play a role in conserving natural resources and practicing good environmental stewardship. As a software company, our impact on the environment and climate change may be smaller than that of a manufacturing business. We believe, however, that environmentally responsible operating practices will serve to benefit stockholders, partners, customers and employees alike. We strive to incorporate sustainability into our business wherever possible, from product development to office selection. We continue to look for and adopt new ways in which we can positively address sustainability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Leading our efforts is the MongoDB “Green Team,” which consists of 330 employees committed to driving sustainable and environmentally responsible behaviors within our company and relentlessly pursuing the goal of reducing our impact on the environment. The Green Team works to educate employees on sustainable lifestyle practices and evaluates actions we can take as a company, locally and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divided into three classes. 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nine members divided into the three classes as follows:</w:t>
      </w:r>
    </w:p>
    <w:p>
      <w:pPr>
        <w:spacing w:after="0" w:line="225" w:lineRule="exact"/>
        <w:rPr>
          <w:sz w:val="20"/>
          <w:szCs w:val="20"/>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Francisco D’Souza, Charles M. Hazard, Jr. and Tom Killalea, whose terms will expire at the upcoming annual meeting of stockholders;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Archana Agrawal, Hope Cochran and Dwight Merriman, whose terms will expire at the annual meeting of stockholders to be held in 2023;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Roelof Botha, Dev Ittycheria and John McMahon, whose terms will expire at the annual meeting of stockholders to be held in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nominated Messrs. D'Souza, Hazard and Killalea, each of whom is currently a director of MongoDB, for re-election to serve as Class II directors. Messrs. Hazard and Killalea were elected to our board of directors by our stockholders prior to our initial public offering. Mr. D’Souza was identified as a director candidate based on an external search performed by an outside firm, and appointed to our board of directors effective November 20, 2019, pursuant to the recommendation of our nominating and corporate governance committee.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Messrs. D'Souza, Hazard and Killalea, has agreed to stand for reelection at the meeting. Our management has no reason to believe that any nominee will be unable to serve. If elected at the meeting, each of these nominees would serve until the annual meeting of stockholders to be held in 2025 and until his successor has been duly elected, or if sooner, until the director’s death,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of common stock present at the meeting (by virtual attendance) or represented by proxy and entitled to vote generally on the election of directors. Accordingly, the three nominees receiving the highest number of affirmative votes will be elected. Shares represented by executed proxies will be voted, if authority to do so is not withheld, for the election of the three nominees named above. If any nominee becomes unavailable for election as a result of an unexpected occurrence, the board of directors may designate a substitute nominee. If the board designates a substitute nominee, shares that would have been voted for that nominee will instead be voted for the election of the substitute nominee designated by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varied age, gender, cultural and ethnic backgrounds add to the overall diversity and viewpoints of the board of directors and that the current board of directors embodies the breadth of backgrounds and experience necessary for a balanced and effective board.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Class II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-157480</wp:posOffset>
            </wp:positionV>
            <wp:extent cx="707199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INFORMATION REGARDING DIRECTOR NOMINEES AND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current nominees and our other directors who will continue in office after the meeting, their ages and position/office held with us as of the date of this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2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31"/>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Class II directors whose terms expire at the 2022 Annual Meeting of Stockholders</w:t>
            </w:r>
          </w:p>
        </w:tc>
        <w:tc>
          <w:tcPr>
            <w:tcW w:w="5240" w:type="dxa"/>
            <w:vAlign w:val="bottom"/>
          </w:tcPr>
          <w:p>
            <w:pPr>
              <w:spacing w:after="0"/>
              <w:rPr>
                <w:sz w:val="20"/>
                <w:szCs w:val="20"/>
                <w:color w:val="auto"/>
              </w:rPr>
            </w:pP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(1)(2)(3)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760" w:type="dxa"/>
            <w:vAlign w:val="bottom"/>
          </w:tcPr>
          <w:p>
            <w:pPr>
              <w:spacing w:after="0"/>
              <w:rPr>
                <w:sz w:val="19"/>
                <w:szCs w:val="19"/>
                <w:color w:val="auto"/>
              </w:rPr>
            </w:pPr>
          </w:p>
        </w:tc>
        <w:tc>
          <w:tcPr>
            <w:tcW w:w="524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(3)(4)(5)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760" w:type="dxa"/>
            <w:vAlign w:val="bottom"/>
          </w:tcPr>
          <w:p>
            <w:pPr>
              <w:spacing w:after="0"/>
              <w:rPr>
                <w:sz w:val="19"/>
                <w:szCs w:val="19"/>
                <w:color w:val="auto"/>
              </w:rPr>
            </w:pPr>
          </w:p>
        </w:tc>
        <w:tc>
          <w:tcPr>
            <w:tcW w:w="524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80" w:type="dxa"/>
            <w:vAlign w:val="bottom"/>
          </w:tcPr>
          <w:p>
            <w:pPr>
              <w:ind w:left="60"/>
              <w:spacing w:after="0" w:line="234"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(1)(3)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760" w:type="dxa"/>
            <w:vAlign w:val="bottom"/>
          </w:tcPr>
          <w:p>
            <w:pPr>
              <w:spacing w:after="0"/>
              <w:rPr>
                <w:sz w:val="20"/>
                <w:szCs w:val="20"/>
                <w:color w:val="auto"/>
              </w:rPr>
            </w:pPr>
          </w:p>
        </w:tc>
        <w:tc>
          <w:tcPr>
            <w:tcW w:w="524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Chairperson of the Board</w:t>
            </w:r>
          </w:p>
        </w:tc>
      </w:tr>
      <w:tr>
        <w:trPr>
          <w:trHeight w:val="229"/>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Class III directors whose terms expire at the 2023 Annual Meeting of Stockholders</w:t>
            </w:r>
          </w:p>
        </w:tc>
        <w:tc>
          <w:tcPr>
            <w:tcW w:w="5240" w:type="dxa"/>
            <w:vAlign w:val="bottom"/>
            <w:shd w:val="clear" w:color="auto" w:fill="CCEEFF"/>
          </w:tcPr>
          <w:p>
            <w:pPr>
              <w:spacing w:after="0"/>
              <w:rPr>
                <w:sz w:val="19"/>
                <w:szCs w:val="19"/>
                <w:color w:val="auto"/>
              </w:rPr>
            </w:pPr>
          </w:p>
        </w:tc>
      </w:tr>
      <w:tr>
        <w:trPr>
          <w:trHeight w:val="230"/>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760" w:type="dxa"/>
            <w:vAlign w:val="bottom"/>
            <w:shd w:val="clear" w:color="auto" w:fill="CCEEFF"/>
          </w:tcPr>
          <w:p>
            <w:pPr>
              <w:spacing w:after="0"/>
              <w:rPr>
                <w:sz w:val="19"/>
                <w:szCs w:val="19"/>
                <w:color w:val="auto"/>
              </w:rPr>
            </w:pPr>
          </w:p>
        </w:tc>
        <w:tc>
          <w:tcPr>
            <w:tcW w:w="5240" w:type="dxa"/>
            <w:vAlign w:val="bottom"/>
            <w:shd w:val="clear" w:color="auto" w:fill="CCEEFF"/>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(5)(6)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760" w:type="dxa"/>
            <w:vAlign w:val="bottom"/>
            <w:shd w:val="clear" w:color="auto" w:fill="CCEEFF"/>
          </w:tcPr>
          <w:p>
            <w:pPr>
              <w:spacing w:after="0"/>
              <w:rPr>
                <w:sz w:val="19"/>
                <w:szCs w:val="19"/>
                <w:color w:val="auto"/>
              </w:rPr>
            </w:pPr>
          </w:p>
        </w:tc>
        <w:tc>
          <w:tcPr>
            <w:tcW w:w="5240" w:type="dxa"/>
            <w:vAlign w:val="bottom"/>
            <w:shd w:val="clear" w:color="auto" w:fill="CCEEFF"/>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Dwight Merriman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760" w:type="dxa"/>
            <w:vAlign w:val="bottom"/>
            <w:shd w:val="clear" w:color="auto" w:fill="CCEEFF"/>
          </w:tcPr>
          <w:p>
            <w:pPr>
              <w:spacing w:after="0"/>
              <w:rPr>
                <w:sz w:val="19"/>
                <w:szCs w:val="19"/>
                <w:color w:val="auto"/>
              </w:rPr>
            </w:pPr>
          </w:p>
        </w:tc>
        <w:tc>
          <w:tcPr>
            <w:tcW w:w="524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Co-Founder and Director</w:t>
            </w: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Class I directors, nominees for election at</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w w:val="92"/>
              </w:rPr>
              <w:t>the 2024 Annual</w:t>
            </w:r>
          </w:p>
        </w:tc>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Meeting of Stockholders</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760" w:type="dxa"/>
            <w:vAlign w:val="bottom"/>
            <w:shd w:val="clear" w:color="auto" w:fill="CCEEFF"/>
          </w:tcPr>
          <w:p>
            <w:pPr>
              <w:spacing w:after="0"/>
              <w:rPr>
                <w:sz w:val="19"/>
                <w:szCs w:val="19"/>
                <w:color w:val="auto"/>
              </w:rPr>
            </w:pPr>
          </w:p>
        </w:tc>
        <w:tc>
          <w:tcPr>
            <w:tcW w:w="5240" w:type="dxa"/>
            <w:vAlign w:val="bottom"/>
            <w:shd w:val="clear" w:color="auto" w:fill="CCEEFF"/>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760" w:type="dxa"/>
            <w:vAlign w:val="bottom"/>
            <w:shd w:val="clear" w:color="auto" w:fill="CCEEFF"/>
          </w:tcPr>
          <w:p>
            <w:pPr>
              <w:spacing w:after="0"/>
              <w:rPr>
                <w:sz w:val="19"/>
                <w:szCs w:val="19"/>
                <w:color w:val="auto"/>
              </w:rPr>
            </w:pPr>
          </w:p>
        </w:tc>
        <w:tc>
          <w:tcPr>
            <w:tcW w:w="5240" w:type="dxa"/>
            <w:vAlign w:val="bottom"/>
            <w:shd w:val="clear" w:color="auto" w:fill="CCEEFF"/>
          </w:tcPr>
          <w:p>
            <w:pPr>
              <w:jc w:val="center"/>
              <w:ind w:right="167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760" w:type="dxa"/>
            <w:vAlign w:val="bottom"/>
            <w:shd w:val="clear" w:color="auto" w:fill="CCEEFF"/>
          </w:tcPr>
          <w:p>
            <w:pPr>
              <w:spacing w:after="0"/>
              <w:rPr>
                <w:sz w:val="19"/>
                <w:szCs w:val="19"/>
                <w:color w:val="auto"/>
              </w:rPr>
            </w:pPr>
          </w:p>
        </w:tc>
        <w:tc>
          <w:tcPr>
            <w:tcW w:w="5240" w:type="dxa"/>
            <w:vAlign w:val="bottom"/>
            <w:shd w:val="clear" w:color="auto" w:fill="CCEEFF"/>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04"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Compensation Committee Member</w:t>
      </w:r>
    </w:p>
    <w:p>
      <w:pPr>
        <w:spacing w:after="0" w:line="3" w:lineRule="exact"/>
        <w:rPr>
          <w:rFonts w:ascii="Times New Roman" w:cs="Times New Roman" w:eastAsia="Times New Roman" w:hAnsi="Times New Roman"/>
          <w:sz w:val="23"/>
          <w:szCs w:val="23"/>
          <w:color w:val="auto"/>
          <w:vertAlign w:val="superscript"/>
        </w:rPr>
      </w:pPr>
    </w:p>
    <w:p>
      <w:pPr>
        <w:ind w:left="280" w:hanging="272"/>
        <w:spacing w:after="0" w:line="189" w:lineRule="auto"/>
        <w:tabs>
          <w:tab w:leader="none" w:pos="2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Compensation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Nominating and Corporate Governance Committee Member</w:t>
      </w:r>
    </w:p>
    <w:p>
      <w:pPr>
        <w:ind w:left="280" w:hanging="272"/>
        <w:spacing w:after="0" w:line="189" w:lineRule="auto"/>
        <w:tabs>
          <w:tab w:leader="none" w:pos="2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Audit Committee Member</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Audit Committee Chairperson</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2022 Annual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Francisco D’Souza </w:t>
      </w:r>
      <w:r>
        <w:rPr>
          <w:rFonts w:ascii="Times New Roman" w:cs="Times New Roman" w:eastAsia="Times New Roman" w:hAnsi="Times New Roman"/>
          <w:sz w:val="18"/>
          <w:szCs w:val="18"/>
          <w:color w:val="auto"/>
        </w:rPr>
        <w:t>has served as a member of our board of directors since November 2019. Mr. D'Souza is Managing Partner and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Partners, a position he has held since November 2019. He co-founded Cognizant Technology 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on the board of directors of Cognizant from January 2007 to March 2020 and as its Vice Chairman from June 2018 to March 2020. Mr. D’Souza serves on the board of directors of General Electric Company, a public multinational conglomerate corporation, and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Charles M. Hazard, Jr. </w:t>
      </w:r>
      <w:r>
        <w:rPr>
          <w:rFonts w:ascii="Times New Roman" w:cs="Times New Roman" w:eastAsia="Times New Roman" w:hAnsi="Times New Roman"/>
          <w:sz w:val="18"/>
          <w:szCs w:val="18"/>
          <w:color w:val="auto"/>
        </w:rPr>
        <w:t>has served as a member of our board of directors since October 2009. Mr. Hazard is a co-founder and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knowledge of and history with our company, his knowledge of the industry in which we operate and his extensive investment and board of directors’ experience.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Tom Killalea </w:t>
      </w:r>
      <w:r>
        <w:rPr>
          <w:rFonts w:ascii="Times New Roman" w:cs="Times New Roman" w:eastAsia="Times New Roman" w:hAnsi="Times New Roman"/>
          <w:sz w:val="18"/>
          <w:szCs w:val="18"/>
          <w:color w:val="auto"/>
        </w:rPr>
        <w:t>has served as a member of our board of directors since December 2015 and as the chairperson of the board of directors since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He has been an advisor to technology-driven companies since November 2014. He was owner and President of Aoinle, LLC, a consulting firm, from 2014 to 2021. Formerly at Amazon for 16 years, Mr. Killalea was Amazon’s first Chief Information Security Officer, led the infrastructure and distributed systems team, and led the Kindle Content Ecosystem. Mr. Killalea currently serves on the board of directors of Akamai Technologies, Inc., a public technology company that provides cloud services for delivering content and business applications over the internet, Satellogic, a public company that provides high-resolution satellite imagery to governments and commercial customers worldwide, and Capital One Financial Corp., a public bank holding company. Previously, he was a Director of Carbon Black, Inc., from April 2017 until its acquisition by VMware, Inc. in October 2019, and Xoom Corporation, from March 2015 until its acquisition by PayPal, Inc. in November 2015. He serves on the editorial board of ACM Queue (Association for Computing Machinery). He holds a B.Ed. in Education from the National University of Ireland, and a B.S. in Computer Science from Trinity College in Dublin. We believe that Mr. Killalea is qualified to serve on our board of directors based on his deep expertise in product development, digital innovation, customer experience and security.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Continuing in Office Until the 2023 Annual Meeting of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Archana Agrawal </w:t>
      </w:r>
      <w:r>
        <w:rPr>
          <w:rFonts w:ascii="Times New Roman" w:cs="Times New Roman" w:eastAsia="Times New Roman" w:hAnsi="Times New Roman"/>
          <w:sz w:val="18"/>
          <w:szCs w:val="18"/>
          <w:color w:val="auto"/>
        </w:rPr>
        <w:t>has served as a member of our board of directors since August 2019. Ms. Agrawal is currently the Chief Marketing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Formagrid, Inc. d/b/a Airtable, a cloud collaboration company, and has served in this capacity since March 2020. She joined the board of Zendesk, Inc., a public software development company in July 2020. Previously, Ms. Agrawal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Ms. Agrawal has a combined nineteen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Hope Cochran </w:t>
      </w:r>
      <w:r>
        <w:rPr>
          <w:rFonts w:ascii="Times New Roman" w:cs="Times New Roman" w:eastAsia="Times New Roman" w:hAnsi="Times New Roman"/>
          <w:sz w:val="18"/>
          <w:szCs w:val="18"/>
          <w:color w:val="auto"/>
        </w:rPr>
        <w:t>has served as a member of our board of directors since December 2016. Ms. Cochran is currently a Managing Director at Madrona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Group, where she has served as a venture partner since January 2017. From September 2013 to June 2016, Ms. Cochran served as the Chief Financial Officer of the public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contract resources software company that she founded. Ms. Cochran has served on the board of directors of Hasbro, Inc., a public toy and entertainment company, since June 2016, and is chairperson of Hasbro’s audit committee and a member of its finance committee. She has also served on the board of directors of New Relic, Inc., a public software analytics company, since May 2018, and is the lead independent director and a member of the audit committee.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Dwight Merriman</w:t>
      </w:r>
      <w:r>
        <w:rPr>
          <w:rFonts w:ascii="Times New Roman" w:cs="Times New Roman" w:eastAsia="Times New Roman" w:hAnsi="Times New Roman"/>
          <w:sz w:val="18"/>
          <w:szCs w:val="18"/>
          <w:color w:val="auto"/>
        </w:rPr>
        <w:t>, one of our co-founders, has served as a member of our board of directors since July 2020. Prior to joining our board,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employed as an advisor to MongoDB. In 1995, he co-founded DoubleClick and served as its Chief Technology Officer for ten years. He is also a co-founder of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2024 Annual Meeting of Stockholders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Roelof Botha </w:t>
      </w:r>
      <w:r>
        <w:rPr>
          <w:rFonts w:ascii="Times New Roman" w:cs="Times New Roman" w:eastAsia="Times New Roman" w:hAnsi="Times New Roman"/>
          <w:sz w:val="18"/>
          <w:szCs w:val="18"/>
          <w:color w:val="auto"/>
        </w:rPr>
        <w:t>has served as a member of our board of directors since December 2013. Since January 2003, Mr. Botha has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at Sequoia Capital, a venture capital firm, including as a Partner and a Managing Member of Sequoia Capital Operations, LLC since 2007. From March 2000 to January 2003, Mr. Botha served in various positions at PayPal, Inc., a public online payments company, including as Chief Financial Officer. Mr. Botha has served on the board of directors of 23andMe, a public personal genetics company, since 2017 and is a member of its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board of Eventbrite, a public global platform for live experiences, since 2009, and is a member of its compensation committee; on the board of directors of Natera, Inc., a public genetic testing company, since 2007, and is a member of its nominating and governance committee; on the board of directors of Block, Inc., a public provider of payments, financial and marketing services, since 2011, and is a member of its audit and risk committee and of its compensation committee; on the board of directors of Unity Software, Inc., a public video game software development company, since 2009, and is a member of its audit committee; and on the board of directors of Bird Global, Inc., a public electric vehicle ride-sharing company, since 2018, and is a member of its audit committee and of its nominating and governance committee. He also currently serves on the board of directors of a number of privately-held companies. Mr. Botha previously served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Dev Ittycheria </w:t>
      </w:r>
      <w:r>
        <w:rPr>
          <w:rFonts w:ascii="Times New Roman" w:cs="Times New Roman" w:eastAsia="Times New Roman" w:hAnsi="Times New Roman"/>
          <w:sz w:val="18"/>
          <w:szCs w:val="18"/>
          <w:color w:val="auto"/>
        </w:rPr>
        <w:t>has served as our President and Chief Executive Officer and as a member of our board of directors since September 2014.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also currently serves on the board of directors of DataRobot, a private software company. Mr. Ittycheria previously served on the boards of directors of Bazaarvoice, Inc., a public software company (January 2010 to August 2014); Athenahealth, Inc., a public cloud-based services company (June 2010 to February 2019); AppDynamics, Inc., a private software company (March 2011 until its acquisition by Cisco Systems, Inc. in March 2017); and Altimeter Growth Corporation, a blank-check company formed by an affiliate of technology focused investment firm Altimeter Capital Management, LP (October 2020 to December 2021). Mr. Ittycheria received his B.S. in Electrical Engineering from Rutgers University. We believe that Mr. Ittycheria is qualified to serve on our board of directors because of his experience building and leading high growth businesses, his prior and current service on the boards of multiple public companies and his expertise and insight into corporate matters as our President and Chief Executive Officer.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McMahon </w:t>
      </w:r>
      <w:r>
        <w:rPr>
          <w:rFonts w:ascii="Times New Roman" w:cs="Times New Roman" w:eastAsia="Times New Roman" w:hAnsi="Times New Roman"/>
          <w:sz w:val="18"/>
          <w:szCs w:val="18"/>
          <w:color w:val="auto"/>
        </w:rPr>
        <w:t>has served as a member of our board of directors since October 2016. Mr. McMahon has also served on the board of Snowflake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Inc., a public software company, since September 2013. From April 2008 to September 2011, Mr. McMahon served as Senior Vice President, Worldwide Sales and Services at BMC Software, Inc. He joined BMC Software, Inc. in connection with its acquisition of BladeLogic, Inc., where he served as Chief Operating Officer. Prior to BladeLogic, Inc., Mr. McMahon served as CEO of High Roads from June 2002 to July 2005. Prior to High Roads, Mr. McMahon was VP of Worldwide Sales at Ariba from April 2000 to January 2002, and as VP-Worldwide Sales from October 1998 to April 2000 at GeoTel Communications, LLC through its acquisition by Cisco Systems, Inc. Prior to GeoTel, Mr. McMahon served as Executive Vice President of Worldwide Sales at Parametric Technology Corporation from 1989 to 1998. Currently, Mr. McMahon serves on the board of directors of several enterprise software private companies, including Sigma Computing, Lacework and Observe. In the past, Mr. McMahon has served on the board of directors of Cybereason, Sprinklr Inc. and Sumo Logic, Inc. and as an executive consultant for AppDynamics, Inc., Drift, Glassdoor, Inc. and HubSpot, Inc. Mr. McMahon received his B.S.E.E. in Electrical Engineering from New Jersey Institute of Technology. We believe that Mr. McMahon is qualified to serve on our board of directors due to his deep software sales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compensation consultants.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receive annual cash retainers for their service on our board of directors and its committees. These cash retainers may be paid in cash or in fully vested shares of our common stock at the election of the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our non-employee directors are eligible to receive the following cash fees for service on our board of directors and its committees,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28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Annual Cash Retainer ($)</w:t>
            </w:r>
            <w:r>
              <w:rPr>
                <w:rFonts w:ascii="Times New Roman" w:cs="Times New Roman" w:eastAsia="Times New Roman" w:hAnsi="Times New Roman"/>
                <w:sz w:val="23"/>
                <w:szCs w:val="23"/>
                <w:color w:val="auto"/>
                <w:vertAlign w:val="superscript"/>
              </w:rPr>
              <w:t>(1)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28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Chairperson Retainer</w:t>
            </w:r>
          </w:p>
        </w:tc>
        <w:tc>
          <w:tcPr>
            <w:tcW w:w="42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Non-Chair Committee Retainer</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34"/>
        </w:trPr>
        <w:tc>
          <w:tcPr>
            <w:tcW w:w="37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bl>
    <w:p>
      <w:pPr>
        <w:spacing w:after="0" w:line="72" w:lineRule="exact"/>
        <w:rPr>
          <w:sz w:val="20"/>
          <w:szCs w:val="20"/>
          <w:color w:val="auto"/>
        </w:rPr>
      </w:pPr>
    </w:p>
    <w:p>
      <w:pPr>
        <w:ind w:left="340" w:hanging="332"/>
        <w:spacing w:after="0" w:line="205" w:lineRule="auto"/>
        <w:tabs>
          <w:tab w:leader="none" w:pos="3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If the relevant director elects to be paid in fully vested shares of our common stock, the number of shares granted to each such director will be based on the volume-weighted average trading price (“VWAP”) of our common stock on the Nasdaq for the 60 trading days immediately prior to the grant date.</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fees became effective at our 2021 annual meeting of stockholders following consultation with our independent compensation consultant FW Cook. Please see the section below titled “Changes in Director Compensation.”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any reasonable expenses incurred in connection with attending our board of directors and committee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are eligible to receive restricted stock unit (“RSU”)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for their service on our board of directors as follows:</w:t>
      </w:r>
    </w:p>
    <w:p>
      <w:pPr>
        <w:spacing w:after="0" w:line="203" w:lineRule="exact"/>
        <w:rPr>
          <w:sz w:val="20"/>
          <w:szCs w:val="20"/>
          <w:color w:val="auto"/>
        </w:rPr>
      </w:pPr>
    </w:p>
    <w:p>
      <w:pPr>
        <w:jc w:val="both"/>
        <w:ind w:left="980" w:hanging="324"/>
        <w:spacing w:after="0" w:line="256"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Each newly elected non-employee director is eligible to receive an RSU award (the “Initial Grant”). Currently,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non-employee directors are eligible to receive a number of shares equal in value to $390,000. This value was increased from $360,000, effective at our 2021 annual meeting of stockholders, following our board of directors’ approval and pursuant to the recommendation of our compensation committee and in consultation with FW Cook. The number of shares underlying the RSU award granted to each director is based on the VWAP of our common stock on the Nasdaq for the 60 trading days immediately prior to the grant date. The shares underlying the Initial Grant vest in a series of three equal annual installments on each anniversary of the grant date, subject to the director’s continued service through each vesting date.</w:t>
      </w:r>
    </w:p>
    <w:p>
      <w:pPr>
        <w:spacing w:after="0" w:line="7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Grant</w:t>
      </w:r>
      <w:r>
        <w:rPr>
          <w:rFonts w:ascii="Times New Roman" w:cs="Times New Roman" w:eastAsia="Times New Roman" w:hAnsi="Times New Roman"/>
          <w:sz w:val="18"/>
          <w:szCs w:val="18"/>
          <w:color w:val="auto"/>
        </w:rPr>
        <w:t>. On the date of our annual meeting of stockholders, each incumbent, non-employee director is eligible to receive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(the “Annual Grant”). Currently, incumbent non-employee directors are eligible to receive a number of shares equal in value to $195,000. This value was increased from $180,000, effective at our 2021 annual meeting of stockholders, following our board of directors’ approval and pursuant to</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20" w:top="36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recommendation of our compensation committee and in consultation with FW Cook. The number of shares underlying the RSU award granted to each director on such date is based on the VWAP of our common stock on the Nasdaq for the 60 trading days immediately prior to the grant date. The shares underlying each Annual Grant vest on the earlier of (a) the first anniversary of the grant date and (b) our next annual meeting of stockholders, subject to the director’s continued service through such date. Newly elected directors will not be granted an Annual Grant during their first year of service.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termination of a director’s service on our board of directors in connection with a change in control (as defined in our 2016 Equity Incentive Plan (the “2016 Plan”)), any unvested shares underlying the Initial Grant and/or the Annual Grant, as applicable, will fully vest and become exercisable as of the effective date of such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of our non-employee directors for the fiscal year ended January 31, 2022. Mr. Ittycheria serves as our Chief Executive Officer in addition to serving as a director and does not receive any additional compensation for his service as a director, and, accordingly, he is not included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Fees Earned or Paid in Cash ($)</w:t>
            </w:r>
            <w:r>
              <w:rPr>
                <w:rFonts w:ascii="Times New Roman" w:cs="Times New Roman" w:eastAsia="Times New Roman" w:hAnsi="Times New Roman"/>
                <w:sz w:val="23"/>
                <w:szCs w:val="23"/>
                <w:b w:val="1"/>
                <w:bCs w:val="1"/>
                <w:color w:val="auto"/>
                <w:w w:val="98"/>
                <w:vertAlign w:val="superscript"/>
              </w:rPr>
              <w:t>(1)</w:t>
            </w:r>
          </w:p>
        </w:tc>
        <w:tc>
          <w:tcPr>
            <w:tcW w:w="26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6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37,500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278,854</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40,000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281,354</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55,779</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297,133</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49,000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290,354</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50,000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291,354</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61,500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302,854</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McMahon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36,721</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278,075</w:t>
            </w:r>
          </w:p>
        </w:tc>
      </w:tr>
      <w:tr>
        <w:trPr>
          <w:trHeight w:val="3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(5)</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30,000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241,354</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271,354</w:t>
            </w:r>
          </w:p>
        </w:tc>
      </w:tr>
    </w:tbl>
    <w:p>
      <w:pPr>
        <w:spacing w:after="0" w:line="125" w:lineRule="exact"/>
        <w:rPr>
          <w:sz w:val="20"/>
          <w:szCs w:val="20"/>
          <w:color w:val="auto"/>
        </w:rPr>
      </w:pPr>
    </w:p>
    <w:p>
      <w:pPr>
        <w:jc w:val="both"/>
        <w:ind w:left="340" w:hanging="332"/>
        <w:spacing w:after="0" w:line="242" w:lineRule="auto"/>
        <w:tabs>
          <w:tab w:leader="none" w:pos="326"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reflect the annual cash fees to which each non-employee director is entitled under our non-employee director compensation program for the fiscal year ended January 31, 2022. Our board of directors has determined that each of our non-employee directors has the option to have such cash fees be paid in the form of cash or in fully vested shares of our common stock. For the fiscal year ended January 31, 2022, several director elected to be paid in shares, the number of shares of common stock granted to such director is based on the VWAP of our common stock on the Nasdaq for the 60 trading days immediately prior to the grant date. The fees earned during the first half of the fiscal year were paid in cash or, at the election of the non-employee director, shares of common stock on June 29, 2021. Each of Ms. Cochran and Messrs. Botha, D'Souza, Hazard and McMahon elected to be paid in shares of common stock for fees earned during the first half of the fiscal year ended January 31, 2022. The grant date fair value was calculated in accordance with FASB Accounting Standards Codification Topic 718 (“ASC 718”) based on the closing stock price at the grant date. The fees earned during the second half of the fiscal year will be paid in cash or shares of common stock, at the non-employee director’s election, on June 28, 2022, the date of our 2022 annual meeting of stockholders. If a director elects to be paid in shares, the number of shares of common stock granted to such director will be based on the VWAP of our common stock on the Nasdaq for the 30 trading days immediately prior to the grant date.</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25"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29, 2021, to each non-employee director eligible to receive an Annual Grant under the terms of our non-employee director compensation program and the 2016 Plan. The grant date fair value was computed in accordance with ASC 718 based on the closing stock price at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the aggregate number of RSUs held by each non-employee director as of January 31, 2022 and (b) the aggregate number of options held by each non-employee director as of January 31,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1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Total RSUs Held</w:t>
            </w:r>
          </w:p>
        </w:tc>
        <w:tc>
          <w:tcPr>
            <w:tcW w:w="38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Total Options Held</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1,391</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629</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629</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49,000</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1,508</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629</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629</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McMahon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629</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1,823</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171,625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Director Compensation</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 The director compensation program was reviewed in February 2021 by FW Cook, our independent compensation consultant. As disclosed in our proxy statement filed in connection with our 2021 annual meeting of stockholders, following this review, our board of directors approved increases to equity, compensation to address a competitive deficit relative to peer group median pay levels. The changes in director compensation were effective as of the 2021 annual meeting of stockholders.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2022, the compensation committee again engaged FW Cook to assist in conducting a pay study analyzing the competitiveness of the company’s pay levels for non-employee directors. The pay study revealed that, on a “per-director” basis, MongoDB’s cash and equity compensation for directors falls below peer group median level, based on a review of publicly available peer group data. Please see the section titled “Use of Competitive Market Data” in our Compensation Discussion and Analysis for further information relating to the peer group companies used in the analysis.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findings of the pay study, and pursuant to the recommendation of the compensation committee, the board of directors approved increases in the award values of the Initial Grants and the Annual Grants for non-employee directors, from $390,000 to $410,000 and from $195,000 to $205,000, respectively. These compensation changes will be effective as of our 2022 annual meeting of stockholders.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 All of our non-employee directors currently satisfy the ownership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580"/>
        <w:spacing w:after="0" w:line="287" w:lineRule="auto"/>
        <w:rPr>
          <w:sz w:val="20"/>
          <w:szCs w:val="20"/>
          <w:color w:val="auto"/>
        </w:rPr>
      </w:pPr>
      <w:r>
        <w:rPr>
          <w:rFonts w:ascii="Times New Roman" w:cs="Times New Roman" w:eastAsia="Times New Roman" w:hAnsi="Times New Roman"/>
          <w:sz w:val="27"/>
          <w:szCs w:val="27"/>
          <w:b w:val="1"/>
          <w:bCs w:val="1"/>
          <w:color w:val="auto"/>
        </w:rPr>
        <w:t>PROPOSAL 2 –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and “Executive Compensation Tables”).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225" w:lineRule="exact"/>
        <w:rPr>
          <w:sz w:val="20"/>
          <w:szCs w:val="20"/>
          <w:color w:val="auto"/>
        </w:rPr>
      </w:pPr>
    </w:p>
    <w:p>
      <w:pPr>
        <w:jc w:val="both"/>
        <w:ind w:left="1300" w:right="64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2022 annual meeting of stockholders, pursuant to the compensation disclosure rules of the Securities and Exchange Commission, including the Compensation Discussion and Analysis, the compensation tables and the accompanying narrative.”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this advisory non-binding proposal requires the affirmative vote of a majority of the voting power of the shares of our common stock present at the meeting (by virtual attendance) or by proxy and entitled to vote thereon.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the non-binding resolution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information for our executive officers, as of the date of this proxy statement: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78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55</w:t>
            </w:r>
          </w:p>
        </w:tc>
        <w:tc>
          <w:tcPr>
            <w:tcW w:w="67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52</w:t>
            </w:r>
          </w:p>
        </w:tc>
        <w:tc>
          <w:tcPr>
            <w:tcW w:w="67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Chief Operating Officer and Chief Financial Officer</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49</w:t>
            </w:r>
          </w:p>
        </w:tc>
        <w:tc>
          <w:tcPr>
            <w:tcW w:w="67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2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56</w:t>
            </w:r>
          </w:p>
        </w:tc>
        <w:tc>
          <w:tcPr>
            <w:tcW w:w="67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Chief Technology Officer</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Biographical information for Dev Ittycheria is included above with the director biographies under the caption “Information Regarding Director Nominees and Current Directors.”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Michael Gordon </w:t>
      </w:r>
      <w:r>
        <w:rPr>
          <w:rFonts w:ascii="Times New Roman" w:cs="Times New Roman" w:eastAsia="Times New Roman" w:hAnsi="Times New Roman"/>
          <w:sz w:val="18"/>
          <w:szCs w:val="18"/>
          <w:color w:val="auto"/>
        </w:rPr>
        <w:t>has served as our Chief Financial Officer since July 2015 and as our Chief Operating Officer since November 2018.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us, Mr. Gordon worked at Yodle, Inc., a local online marketing 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UiPath, a public enterprise automation software company, and Share Our Strength, a non-profit, anti-hunger organization. Mr. Gordon received his A.B. from Harvard College and his M.B.A. from Harvard Business School.</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Cedric Pech </w:t>
      </w:r>
      <w:r>
        <w:rPr>
          <w:rFonts w:ascii="Times New Roman" w:cs="Times New Roman" w:eastAsia="Times New Roman" w:hAnsi="Times New Roman"/>
          <w:sz w:val="18"/>
          <w:szCs w:val="18"/>
          <w:color w:val="auto"/>
        </w:rPr>
        <w:t>has served as our Chief Revenue Officer since February 2019. Before being appointed as Chief Revenue Officer, Mr. Pech led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Middle East and Africa sales divisions beginning in July 2017. Prior to joining us, Mr. Pech worked at Fuze, an enterprise global cloud communications and collaboration software platform, where he served as the Senior Vice President of Worldwide Sales from May 2015 until May 2017, and as General Manager, Europe, the Middle East and Africa, from April 2014 until May 2015. Mr. Pech completed his Classe Préparatoire at Lycée Bois Fleury Grenoble and received his M.B.A. from Montpellier Business School.</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 Porter </w:t>
      </w:r>
      <w:r>
        <w:rPr>
          <w:rFonts w:ascii="Times New Roman" w:cs="Times New Roman" w:eastAsia="Times New Roman" w:hAnsi="Times New Roman"/>
          <w:sz w:val="18"/>
          <w:szCs w:val="18"/>
          <w:color w:val="auto"/>
        </w:rPr>
        <w:t>has served as our Chief Technology Officer since July 2020. Prior to joining us, Mr. Porter was Chief Technology Officer of Core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Transport at Grab, Southeast Asia's super app that provides everyday services such as ride-hailing, food, package, grocery delivery, mobile payments and financial services to millions of people, from October 2018 to July 2020. Prior to joining Grab, Mr. Porter was a General Manager at Amazon Web Services, from May 2013 to October 2018, where he led the Relational Database Service (RDS), Amazon Aurora and RDS for PostgreSQL, the AWS Database Migration Service, and the AWS Schema Conversion Tool. Prior to Amazon, Mr. Porter held various roles including Chief Technology Officer of a division of NewsCorp and Vice President of Engineering at Oracle Corporation, as well as working at NASA/JPL and being an early member of the Oracle Database Kernel group. He has been professionally coding since he was 16 years old and founded and ran his own electronics services integration company. Mr. Porter previously served on our board of directors from February 2020 to July 2020. He also previously served on the board of directors of Splyt, a global mobility company, from May 2019 through June 2020, and as a board advisor to MariaDB, a database company, from March 2018 until January 2020. He holds a B.S. in Engineering and Applied Science from Caltech.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Discussion and Analysis</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our executive compensation program for the fiscal year ended January 31, 2022. It also provides an overview of our compensation philosophy and objectives, our process for setting executive compensation and how the compensation committee arrived at the specific compensation decisions for our named executive officers for the fiscal year ended January 31, 2022, including the key factors considered.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January 31, 2022 were:</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 Ittycheria,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Gordon, Chief Operating Officer and Chief Financial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Pech, Chief Revenue Officer;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Porter, Chief Technology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we had only four executive officers during fiscal year 2022, all are considered named executive officers under SEC rules.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Our business model combines the developer mindshare and adoption benefits of open source with the economic benefits of a proprietary software subscription business model.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core offerings are MongoDB Atlas and MongoDB Enterprise Advanced. MongoDB Atlas is our hosted multi-cloud database-as-a-service (“DBaaS”) offering that includes comprehensive infrastructure and management of our database. MongoDB Enterprise Advanced is our proprietary commercial database server offering for enterprise customers that can be run in the cloud, on-premise or in a hybrid environment. To encourage developer usage, familiarity and adoption of our platform, we offer Community Server as a “freemium” offering. Community Server is a free-to-download version of our database that does not include all of the features of our commercial platform. To support our database platform and increase customer retention, we provide professional services to our customers with the goal of making customers’ applications on our platform successful.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 Performance Summary</w:t>
      </w:r>
    </w:p>
    <w:p>
      <w:pPr>
        <w:spacing w:after="0" w:line="225" w:lineRule="exact"/>
        <w:rPr>
          <w:sz w:val="20"/>
          <w:szCs w:val="20"/>
          <w:color w:val="auto"/>
        </w:rPr>
      </w:pPr>
    </w:p>
    <w:p>
      <w:pPr>
        <w:ind w:left="980" w:hanging="324"/>
        <w:spacing w:after="0" w:line="28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Total revenue was $873.8 million for the full year fiscal 2022, an increase of 48% year-over-year. Subscription revenue was $842.0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 increase of 49% year-over-year, and services revenue was $31.7 million, an increase of 27% year-over-year.</w:t>
      </w:r>
    </w:p>
    <w:p>
      <w:pPr>
        <w:spacing w:after="0" w:line="4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Gross profit was $614.3 million for the full year fiscal 2022, representing a 70% gross margin compared to 70% the prior year.</w:t>
      </w:r>
    </w:p>
    <w:p>
      <w:pPr>
        <w:spacing w:after="0" w:line="11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Loss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from operations was $289.4 million for the full year fiscal 2022, compared to a loss of $209.3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w:t>
      </w:r>
    </w:p>
    <w:p>
      <w:pPr>
        <w:spacing w:after="0" w:line="4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Net loss was $306.9 million, or $4.75 per share, based on 64.6 million weighted-average shares outstanding, for the full year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This compares to a net loss of $266.9 million, or $4.53 per share, based on 59.0 million weighted-average shares outstanding,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980" w:hanging="324"/>
        <w:spacing w:after="0" w:line="28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MongoDB Atlas Revenue</w:t>
      </w:r>
      <w:r>
        <w:rPr>
          <w:rFonts w:ascii="Times New Roman" w:cs="Times New Roman" w:eastAsia="Times New Roman" w:hAnsi="Times New Roman"/>
          <w:sz w:val="18"/>
          <w:szCs w:val="18"/>
          <w:color w:val="auto"/>
        </w:rPr>
        <w:t>. Revenue from MongoDB Atlas, our cloud-hosted database-as-a-service offering, represented 56% of our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for fiscal year 2022, compared to 46% in the prior year.</w:t>
      </w:r>
    </w:p>
    <w:p>
      <w:pPr>
        <w:spacing w:after="0" w:line="4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As of January 31, 2022, we had over 33,000 customers across a wide range of industries and in over 100 countries,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24,800 customers and over 17,000 customers as of January 31, 2021 and 2020, respectively. All affiliated entities are counted as a single customer.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Below are examples of our executive compensation practices that the compensation committee considers to be effective at driving performance and supporting long-term growth for our stockholders while mitigating risk, and other executive compensation practices in which we do not engage because they are inconsistent with the compensation committee’s philosophy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 and What We Don't Do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We align executive compensation</w:t>
            </w:r>
          </w:p>
        </w:tc>
        <w:tc>
          <w:tcPr>
            <w:tcW w:w="320" w:type="dxa"/>
            <w:vAlign w:val="bottom"/>
            <w:tcBorders>
              <w:top w:val="single" w:sz="8" w:color="auto"/>
            </w:tcBorders>
            <w:shd w:val="clear" w:color="auto" w:fill="CCEEFF"/>
          </w:tcPr>
          <w:p>
            <w:pPr>
              <w:ind w:left="20"/>
              <w:spacing w:after="0" w:line="169" w:lineRule="exact"/>
              <w:rPr>
                <w:sz w:val="20"/>
                <w:szCs w:val="20"/>
                <w:color w:val="auto"/>
              </w:rPr>
            </w:pPr>
            <w:r>
              <w:rPr>
                <w:rFonts w:ascii="MS PGothic" w:cs="MS PGothic" w:eastAsia="MS PGothic" w:hAnsi="MS PGothic"/>
                <w:sz w:val="18"/>
                <w:szCs w:val="18"/>
                <w:color w:val="auto"/>
              </w:rPr>
              <w:t>✔</w:t>
            </w:r>
          </w:p>
        </w:tc>
        <w:tc>
          <w:tcPr>
            <w:tcW w:w="8000" w:type="dxa"/>
            <w:vAlign w:val="bottom"/>
            <w:tcBorders>
              <w:top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Strong Alignment between Bonus Payout and Performance. </w:t>
            </w:r>
            <w:r>
              <w:rPr>
                <w:rFonts w:ascii="Times New Roman" w:cs="Times New Roman" w:eastAsia="Times New Roman" w:hAnsi="Times New Roman"/>
                <w:sz w:val="18"/>
                <w:szCs w:val="18"/>
                <w:color w:val="auto"/>
              </w:rPr>
              <w:t>Our annual performance-based short-term</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with the interests of our stockholders</w:t>
            </w:r>
          </w:p>
        </w:tc>
        <w:tc>
          <w:tcPr>
            <w:tcW w:w="320" w:type="dxa"/>
            <w:vAlign w:val="bottom"/>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bonus award opportunities for all of our named executive officers are dependent upon our achievement of</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annual corporate objectives selected for their ability to drive operational and financial performance. These</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performance goals are comprised entirely of corporate performance objectives and do not include a</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qualitative component.</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Significant Long-term Equity Component. </w:t>
            </w:r>
            <w:r>
              <w:rPr>
                <w:rFonts w:ascii="Times New Roman" w:cs="Times New Roman" w:eastAsia="Times New Roman" w:hAnsi="Times New Roman"/>
                <w:sz w:val="18"/>
                <w:szCs w:val="18"/>
                <w:color w:val="auto"/>
              </w:rPr>
              <w:t>Equity  awards  are  an  integral  part  of  our  executive</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compensation program, and represent the most significant “at-risk” portion of compensation for named</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executive officers. Multi-year vesting periods for awards strongly align our executive officers’ interests with</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those of our stockholders by providing a continuing financial incentive to maximize long-term value for our</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stockholders and by encouraging our executive officers to remain in our long-term employ. For fiscal year</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2022, 94% of our Chief Executive Officer’s total reported compensation and an average of 86% of the total</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reported executive compensation for our other named executive officers was in the form of long-term equity</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incentive awards, as reported in the “Summary Compensation Table.”</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Our executive compensation</w:t>
            </w:r>
          </w:p>
        </w:tc>
        <w:tc>
          <w:tcPr>
            <w:tcW w:w="320" w:type="dxa"/>
            <w:vAlign w:val="bottom"/>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8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Claw back Policy. </w:t>
            </w:r>
            <w:r>
              <w:rPr>
                <w:rFonts w:ascii="Times New Roman" w:cs="Times New Roman" w:eastAsia="Times New Roman" w:hAnsi="Times New Roman"/>
                <w:sz w:val="18"/>
                <w:szCs w:val="18"/>
                <w:color w:val="auto"/>
              </w:rPr>
              <w:t>Our claw back policy provides for the recoupment of incentive-based compensation for</w:t>
            </w:r>
          </w:p>
        </w:tc>
        <w:tc>
          <w:tcPr>
            <w:tcW w:w="0" w:type="dxa"/>
            <w:vAlign w:val="bottom"/>
          </w:tcPr>
          <w:p>
            <w:pPr>
              <w:spacing w:after="0"/>
              <w:rPr>
                <w:sz w:val="1"/>
                <w:szCs w:val="1"/>
                <w:color w:val="auto"/>
              </w:rPr>
            </w:pPr>
          </w:p>
        </w:tc>
      </w:tr>
      <w:tr>
        <w:trPr>
          <w:trHeight w:val="180"/>
        </w:trPr>
        <w:tc>
          <w:tcPr>
            <w:tcW w:w="29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programs are designed to mitigate</w:t>
            </w:r>
          </w:p>
        </w:tc>
        <w:tc>
          <w:tcPr>
            <w:tcW w:w="320" w:type="dxa"/>
            <w:vAlign w:val="bottom"/>
          </w:tcPr>
          <w:p>
            <w:pPr>
              <w:spacing w:after="0"/>
              <w:rPr>
                <w:sz w:val="15"/>
                <w:szCs w:val="15"/>
                <w:color w:val="auto"/>
              </w:rPr>
            </w:pPr>
          </w:p>
        </w:tc>
        <w:tc>
          <w:tcPr>
            <w:tcW w:w="800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color w:val="auto"/>
              </w:rPr>
              <w:t>our executive officers in certain circumstances where restatement of financial results is required.</w:t>
            </w:r>
          </w:p>
        </w:tc>
        <w:tc>
          <w:tcPr>
            <w:tcW w:w="0" w:type="dxa"/>
            <w:vAlign w:val="bottom"/>
          </w:tcPr>
          <w:p>
            <w:pPr>
              <w:spacing w:after="0"/>
              <w:rPr>
                <w:sz w:val="1"/>
                <w:szCs w:val="1"/>
                <w:color w:val="auto"/>
              </w:rPr>
            </w:pPr>
          </w:p>
        </w:tc>
      </w:tr>
      <w:tr>
        <w:trPr>
          <w:trHeight w:val="184"/>
        </w:trPr>
        <w:tc>
          <w:tcPr>
            <w:tcW w:w="2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undue risk-taking by our executives</w:t>
            </w:r>
          </w:p>
        </w:tc>
        <w:tc>
          <w:tcPr>
            <w:tcW w:w="3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 to foster long-term growth for</w:t>
            </w: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Each of our executive officers is subject to stock ownership requirements</w:t>
            </w:r>
          </w:p>
        </w:tc>
        <w:tc>
          <w:tcPr>
            <w:tcW w:w="0" w:type="dxa"/>
            <w:vAlign w:val="bottom"/>
          </w:tcPr>
          <w:p>
            <w:pPr>
              <w:spacing w:after="0"/>
              <w:rPr>
                <w:sz w:val="1"/>
                <w:szCs w:val="1"/>
                <w:color w:val="auto"/>
              </w:rPr>
            </w:pP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our stockholders</w:t>
            </w:r>
          </w:p>
        </w:tc>
        <w:tc>
          <w:tcPr>
            <w:tcW w:w="320" w:type="dxa"/>
            <w:vAlign w:val="bottom"/>
          </w:tcPr>
          <w:p>
            <w:pPr>
              <w:spacing w:after="0"/>
              <w:rPr>
                <w:sz w:val="20"/>
                <w:szCs w:val="20"/>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described in the “Stock Ownership Guidelines” section below.</w:t>
            </w:r>
          </w:p>
        </w:tc>
        <w:tc>
          <w:tcPr>
            <w:tcW w:w="0" w:type="dxa"/>
            <w:vAlign w:val="bottom"/>
          </w:tcPr>
          <w:p>
            <w:pPr>
              <w:spacing w:after="0"/>
              <w:rPr>
                <w:sz w:val="1"/>
                <w:szCs w:val="1"/>
                <w:color w:val="auto"/>
              </w:rPr>
            </w:pPr>
          </w:p>
        </w:tc>
      </w:tr>
      <w:tr>
        <w:trPr>
          <w:trHeight w:val="356"/>
        </w:trPr>
        <w:tc>
          <w:tcPr>
            <w:tcW w:w="2920" w:type="dxa"/>
            <w:vAlign w:val="bottom"/>
          </w:tcPr>
          <w:p>
            <w:pPr>
              <w:spacing w:after="0"/>
              <w:rPr>
                <w:sz w:val="24"/>
                <w:szCs w:val="24"/>
                <w:color w:val="auto"/>
              </w:rPr>
            </w:pP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Cap Payouts. </w:t>
            </w:r>
            <w:r>
              <w:rPr>
                <w:rFonts w:ascii="Times New Roman" w:cs="Times New Roman" w:eastAsia="Times New Roman" w:hAnsi="Times New Roman"/>
                <w:sz w:val="18"/>
                <w:szCs w:val="18"/>
                <w:color w:val="auto"/>
              </w:rPr>
              <w:t>Our payments to named executive officers are capped under our performance-based annual</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bonus program. Except, the portion of the Chief Revenue Officer’s bonus tied to Net New ARR is</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calculated based on a percentage of the Company’s contract bookings and is not subject to a maximum</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payout. These commission payments are intended to provide incentive for our Chief Revenue Officer to</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continue to grow our business and generate revenues, and the rates of payment are set to provide</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challenging but achievable goals to motivate him.</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We adhere to executive compensation</w:t>
            </w:r>
          </w:p>
        </w:tc>
        <w:tc>
          <w:tcPr>
            <w:tcW w:w="320" w:type="dxa"/>
            <w:vAlign w:val="bottom"/>
            <w:shd w:val="clear" w:color="auto" w:fill="CCEEFF"/>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8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No Tax Gross-Ups. </w:t>
            </w:r>
            <w:r>
              <w:rPr>
                <w:rFonts w:ascii="Times New Roman" w:cs="Times New Roman" w:eastAsia="Times New Roman" w:hAnsi="Times New Roman"/>
                <w:sz w:val="18"/>
                <w:szCs w:val="18"/>
                <w:color w:val="auto"/>
              </w:rPr>
              <w:t>We do not provide our executive officers with tax gross-ups.</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best practices</w:t>
            </w:r>
          </w:p>
        </w:tc>
        <w:tc>
          <w:tcPr>
            <w:tcW w:w="320" w:type="dxa"/>
            <w:vAlign w:val="bottom"/>
            <w:shd w:val="clear" w:color="auto" w:fill="CCEEFF"/>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Limited Executive Perquisites. </w:t>
            </w:r>
            <w:r>
              <w:rPr>
                <w:rFonts w:ascii="Times New Roman" w:cs="Times New Roman" w:eastAsia="Times New Roman" w:hAnsi="Times New Roman"/>
                <w:sz w:val="18"/>
                <w:szCs w:val="18"/>
                <w:color w:val="auto"/>
              </w:rPr>
              <w:t>We generally do not provide executive fringe benefits or perquisites such</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as car allowances to our executives, other than certain services related to cybersecurity, which we consider</w:t>
            </w:r>
          </w:p>
        </w:tc>
        <w:tc>
          <w:tcPr>
            <w:tcW w:w="0" w:type="dxa"/>
            <w:vAlign w:val="bottom"/>
          </w:tcPr>
          <w:p>
            <w:pPr>
              <w:spacing w:after="0"/>
              <w:rPr>
                <w:sz w:val="1"/>
                <w:szCs w:val="1"/>
                <w:color w:val="auto"/>
              </w:rPr>
            </w:pPr>
          </w:p>
        </w:tc>
      </w:tr>
      <w:tr>
        <w:trPr>
          <w:trHeight w:val="225"/>
        </w:trPr>
        <w:tc>
          <w:tcPr>
            <w:tcW w:w="29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be in our best interest.</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Engage an Independent Compensation Consultant. </w:t>
            </w:r>
            <w:r>
              <w:rPr>
                <w:rFonts w:ascii="Times New Roman" w:cs="Times New Roman" w:eastAsia="Times New Roman" w:hAnsi="Times New Roman"/>
                <w:sz w:val="18"/>
                <w:szCs w:val="18"/>
                <w:color w:val="auto"/>
              </w:rPr>
              <w:t>Our compensation committee has retained an</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independent third-party compensation consultant for guidance in making compensation decisions. The</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compensation consultant advises our compensation committee on market trends and practices, including</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identifying a peer group of companies and their compensation practices, so that our compensation</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committee can regularly assess our individual and total compensation programs against these peer</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companies, the general marketplace and other industry data points.</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Anti-Hedging and Anti-Pledging. </w:t>
            </w:r>
            <w:r>
              <w:rPr>
                <w:rFonts w:ascii="Times New Roman" w:cs="Times New Roman" w:eastAsia="Times New Roman" w:hAnsi="Times New Roman"/>
                <w:sz w:val="18"/>
                <w:szCs w:val="18"/>
                <w:color w:val="auto"/>
              </w:rPr>
              <w:t>We prohibit hedging and pledging of MongoDB securities by our</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employees, directors and consultants.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 Vote and Stockholder Engagement</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last year’s annual meeting of stockholders, approximately 78%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 At our 2019 annual meeting, our stockholders also indicated their approval of the recommendation that we solicit a say-on-pay vote on an annual basis. We have adopted a policy that is consistent with that preference and, accordingly, we are holding a say-on-pay vote at our upcoming annual meeting. A “say-on-frequency” vote is required every six years, and as such, our next say-on-frequency vote will be in 2025.</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fiscal year 2022, we reached out to shareholders owning approximately 63% of our outstanding stock based on stock ownership level as of June 30, 2021, and had conversations with stockholders owning an aggregate of approximately 40% of our outstanding stock. Through this outreach, we solicited feedback on our executive compensation program, corporate governance and environmental and social impact issues. We appreciate and value the engagement of our stockholders. Feedback received from stockholders is shared with the Board and relevant committees and taken into account when considering proposed changes to corporate governance, compensation and other practices and disclosures. As a result of the feedback we’ve received and to better align the long-term interests of the Company and our executive officers with those of our stockholders, we have adopted performance-based equity awards for the annual long-term incentive grant program effective with the fiscal year 2023 annual award cycle. A meaningful portion of our executive officer compensation will be in the form of performance stock unit awards, with earn out tied to achievement of revenue and cash flow goals and vesting subject to service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Philosophy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spacing w:after="0" w:line="176"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incentivize and retain a highly skilled team of executives who contribute to our long-term success;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to our executive officers that are competitive and reward the achievement of our financial, operational and strategic objectives;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align our executive officers’ interests with the interests of our stockholders by focusing on long-term equity incentives that correlate with the growth of sustainable long-term value for our stockholders.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Process for Setting Executive Compensation</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r>
        <w:rPr>
          <w:rFonts w:ascii="Times New Roman" w:cs="Times New Roman" w:eastAsia="Times New Roman" w:hAnsi="Times New Roman"/>
          <w:sz w:val="18"/>
          <w:szCs w:val="18"/>
          <w:color w:val="auto"/>
        </w:rPr>
        <w:t>. Compensation decisions for our named executive officers are determined by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establishing, approving and adjusting compensation arrangements for our named executive officers and for reviewing and approving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objectives relevant to these compensation arrangements, and considering factors related to the performance of MongoDB. For additional information about the compensation committee, see the section titled “Board of Directors and Corporate Governance – Board Committees – Compensation Committee.”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the compensation committee’s process for determining executive compensation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determines any adjustments to his compensation as well as awards to be granted, taking into account the Board's evaluation of the Chief Executive Officer’s performance. For all executives and directors, as part of its deliberations, the compensation committee may review and consider, as appropriate, materials such as financial reports and projections, operational data,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to obtain, at the expense of MongoDB, advice and assistance from its own advisors as it considers necessary or appropriate in the performance of its duties. For the fiscal year ended January 31, 2022, the compensation committee retained FW Cook to review and assess our executive compensation practices relative to market compensation practices and to provide market compensation data. For additional information on this engagement, see the section below titled “Role of the Compensation Consultant.”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r>
        <w:rPr>
          <w:rFonts w:ascii="Times New Roman" w:cs="Times New Roman" w:eastAsia="Times New Roman" w:hAnsi="Times New Roman"/>
          <w:sz w:val="18"/>
          <w:szCs w:val="18"/>
          <w:color w:val="auto"/>
        </w:rPr>
        <w:t>. For fiscal year 2022, the scope of FW Cook’s engagement for the compensation committee included:</w:t>
      </w:r>
    </w:p>
    <w:p>
      <w:pPr>
        <w:spacing w:after="0" w:line="229" w:lineRule="exact"/>
        <w:rPr>
          <w:sz w:val="20"/>
          <w:szCs w:val="20"/>
          <w:color w:val="auto"/>
        </w:rPr>
      </w:pPr>
    </w:p>
    <w:p>
      <w:pPr>
        <w:ind w:left="98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materials prepared for the compensation committee by management relative to fiscal year 2022 compensation for the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compensation committee on executive compensation trends;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market equity compensation practices, including the proportion of our total shares outstanding used for annual employee long-term incentive compensation awards (our “burn rate”) and the potential voting power dilution to our stockholders (our “overhang”);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market data and analysis to assist the compensation committee in setting target compensation for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developing and reviewing the compensation peer group used for fiscal year 2022 executive compensation benchmarking;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our non-employee director compensation program;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other ad hoc matters throughout the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FW Cook reviewed and provided input on the Compensation Discussion and Analysis section of this proxy statement. In retaining FW Cook, the compensation committee considered the six factors set forth in Rule 10C-1(b)(4)(i) through (vi) of the Exchange Act. In addition, after review of information provided by each of the members of the compensation committee as well as information provided by FW Cook, the compensation committee determined that there were no conflicts of interest raised by their work with the compensation committee.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Role of Chief Executive Officer</w:t>
      </w:r>
      <w:r>
        <w:rPr>
          <w:rFonts w:ascii="Times New Roman" w:cs="Times New Roman" w:eastAsia="Times New Roman" w:hAnsi="Times New Roman"/>
          <w:sz w:val="18"/>
          <w:szCs w:val="18"/>
          <w:color w:val="auto"/>
        </w:rPr>
        <w:t>. In discharging its responsibilities, the compensation committee works with members of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discusses these recommendations and proposals with our Chief Executive Officer and considers them as one factor in determining the compensation for our executive officers. Our Chief Executive Officer recuses himself from all deliberations and recommendations regarding his own compensation.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also delegated limited authority to the Chief Executive Officer to make equity grants to certain employees who are not executive officers.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Competitive Market Data</w:t>
      </w:r>
      <w:r>
        <w:rPr>
          <w:rFonts w:ascii="Times New Roman" w:cs="Times New Roman" w:eastAsia="Times New Roman" w:hAnsi="Times New Roman"/>
          <w:sz w:val="18"/>
          <w:szCs w:val="18"/>
          <w:color w:val="auto"/>
        </w:rPr>
        <w:t>. For purposes of comparing our executive compensation against the competitive market,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reviews and considers the compensation levels and practices of a group of peer companies. This compensation peer group consists of technology companies and is determined based on several factors, including industry classification and company size based on metrics such as revenue, market capitalization and headcount along with other qualitative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2021, the compensation committee, in consultation with FW Cook, reviewed the companies in our peer group to determine if adjustments were necessary based on strategic and company size alignment. As a result of this review, the compensation committee approved the following 15-company peer group for purposes of fiscal year 2022 compensation decisions: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Alteryx</w:t>
            </w:r>
          </w:p>
        </w:tc>
        <w:tc>
          <w:tcPr>
            <w:tcW w:w="3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Five9</w:t>
            </w:r>
          </w:p>
        </w:tc>
        <w:tc>
          <w:tcPr>
            <w:tcW w:w="52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Okta</w:t>
            </w: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Avalara</w:t>
            </w:r>
          </w:p>
        </w:tc>
        <w:tc>
          <w:tcPr>
            <w:tcW w:w="3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HubSpot</w:t>
            </w:r>
          </w:p>
        </w:tc>
        <w:tc>
          <w:tcPr>
            <w:tcW w:w="5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RingCentral</w:t>
            </w: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Cloudera</w:t>
            </w:r>
          </w:p>
        </w:tc>
        <w:tc>
          <w:tcPr>
            <w:tcW w:w="3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LogMeIn</w:t>
            </w:r>
          </w:p>
        </w:tc>
        <w:tc>
          <w:tcPr>
            <w:tcW w:w="52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Trade Desk</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Software</w:t>
            </w:r>
          </w:p>
        </w:tc>
        <w:tc>
          <w:tcPr>
            <w:tcW w:w="3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Relic</w:t>
            </w:r>
          </w:p>
        </w:tc>
        <w:tc>
          <w:tcPr>
            <w:tcW w:w="5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Twilio</w:t>
            </w: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Elastic N.V.</w:t>
            </w:r>
          </w:p>
        </w:tc>
        <w:tc>
          <w:tcPr>
            <w:tcW w:w="3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Nutanix</w:t>
            </w:r>
          </w:p>
        </w:tc>
        <w:tc>
          <w:tcPr>
            <w:tcW w:w="52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Zendesk</w:t>
            </w:r>
          </w:p>
        </w:tc>
      </w:tr>
    </w:tbl>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Avalara and Elastic N.V. were added to the peer group based primarily on their financial alignment with MongoDB and the comparable nature of their businesses. Rapid7 was removed from the peer group due to its low market capitalization relative to MongoDB. At the time of the compensation committee's approval of this peer group, MongoDB was at the 29th percentile in terms of revenue and at the 66th percentile in terms of market capitalization relative to the companies in this peer group. LogMeIn was acquired in fiscal year 2021 and, while its publicly disclosed pre-acquisition compensation data remained relevant for compensation comparisons for fiscal year 2022, it will be removed from the compensation benchmarking peer groups going forward.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referred to compensation data from this peer group in the first quarter of fiscal year 2022 to assist with the determination of compensation for our directors and executive officers. In addition, the compensation committee used survey data from a 2020 technology industry executive compensation survey to evaluate the competitive market when formulating its recommendation for the total direct compensation packages for our executive officers, including base salary, target bonus, and long-term incentive compensation opportunities. This survey provides compensation market intelligence and is widely used within the technology industry.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compensation peer group at least annually to make adjustments to its composition if warranted, taking into account changes in both our business and the businesses of the companies in the peer group. In the third quarter of fiscal year 2022, the compensation committee made further adjustments to the peer group for purposes of fiscal year 2023 compensation determinations.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Program Components for FY2022</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Named executive officer compensation awarded in the fiscal year ended January 31, 2022 consisted of the following components.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2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How Payout is Determined</w:t>
            </w:r>
          </w:p>
        </w:tc>
        <w:tc>
          <w:tcPr>
            <w:tcW w:w="2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2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Base Salary</w:t>
            </w:r>
          </w:p>
        </w:tc>
        <w:tc>
          <w:tcPr>
            <w:tcW w:w="2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Compensation committee</w:t>
            </w:r>
          </w:p>
        </w:tc>
        <w:tc>
          <w:tcPr>
            <w:tcW w:w="27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Provides compensation at a level</w:t>
            </w:r>
          </w:p>
        </w:tc>
        <w:tc>
          <w:tcPr>
            <w:tcW w:w="0" w:type="dxa"/>
            <w:vAlign w:val="bottom"/>
          </w:tcPr>
          <w:p>
            <w:pPr>
              <w:spacing w:after="0"/>
              <w:rPr>
                <w:sz w:val="1"/>
                <w:szCs w:val="1"/>
                <w:color w:val="auto"/>
              </w:rPr>
            </w:pPr>
          </w:p>
        </w:tc>
      </w:tr>
      <w:tr>
        <w:trPr>
          <w:trHeight w:val="182"/>
        </w:trPr>
        <w:tc>
          <w:tcPr>
            <w:tcW w:w="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27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Fixed</w:t>
            </w:r>
          </w:p>
        </w:tc>
        <w:tc>
          <w:tcPr>
            <w:tcW w:w="2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determines salary; considers</w:t>
            </w:r>
          </w:p>
        </w:tc>
        <w:tc>
          <w:tcPr>
            <w:tcW w:w="2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4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consistent with competitive</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27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cash</w:t>
            </w:r>
          </w:p>
        </w:tc>
        <w:tc>
          <w:tcPr>
            <w:tcW w:w="2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competitive market information,</w:t>
            </w:r>
          </w:p>
        </w:tc>
        <w:tc>
          <w:tcPr>
            <w:tcW w:w="27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practices</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74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performance, criticality of role and</w:t>
            </w:r>
          </w:p>
        </w:tc>
        <w:tc>
          <w:tcPr>
            <w:tcW w:w="27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Reflects role, responsibilities,</w:t>
            </w: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potential impact</w:t>
            </w:r>
          </w:p>
        </w:tc>
        <w:tc>
          <w:tcPr>
            <w:tcW w:w="2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skills, experience and performance</w:t>
            </w:r>
          </w:p>
        </w:tc>
        <w:tc>
          <w:tcPr>
            <w:tcW w:w="0" w:type="dxa"/>
            <w:vAlign w:val="bottom"/>
          </w:tcPr>
          <w:p>
            <w:pPr>
              <w:spacing w:after="0"/>
              <w:rPr>
                <w:sz w:val="1"/>
                <w:szCs w:val="1"/>
                <w:color w:val="auto"/>
              </w:rPr>
            </w:pPr>
          </w:p>
        </w:tc>
      </w:tr>
      <w:tr>
        <w:trPr>
          <w:trHeight w:val="184"/>
        </w:trPr>
        <w:tc>
          <w:tcPr>
            <w:tcW w:w="2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Short-Term Performance-Based Bonus</w:t>
            </w:r>
          </w:p>
        </w:tc>
        <w:tc>
          <w:tcPr>
            <w:tcW w:w="27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Compensation committee</w:t>
            </w:r>
          </w:p>
        </w:tc>
        <w:tc>
          <w:tcPr>
            <w:tcW w:w="27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Net New Annual Recurring</w:t>
            </w:r>
          </w:p>
        </w:tc>
        <w:tc>
          <w:tcPr>
            <w:tcW w:w="1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Motivates and rewards executives</w:t>
            </w:r>
          </w:p>
        </w:tc>
        <w:tc>
          <w:tcPr>
            <w:tcW w:w="0" w:type="dxa"/>
            <w:vAlign w:val="bottom"/>
          </w:tcPr>
          <w:p>
            <w:pPr>
              <w:spacing w:after="0"/>
              <w:rPr>
                <w:sz w:val="1"/>
                <w:szCs w:val="1"/>
                <w:color w:val="auto"/>
              </w:rPr>
            </w:pPr>
          </w:p>
        </w:tc>
      </w:tr>
      <w:tr>
        <w:trPr>
          <w:trHeight w:val="180"/>
        </w:trPr>
        <w:tc>
          <w:tcPr>
            <w:tcW w:w="2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Awards</w:t>
            </w:r>
          </w:p>
        </w:tc>
        <w:tc>
          <w:tcPr>
            <w:tcW w:w="27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determines executive bonus;</w:t>
            </w:r>
          </w:p>
        </w:tc>
        <w:tc>
          <w:tcPr>
            <w:tcW w:w="27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Revenue, Non-GAAP Operating</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for achievement of annual goals</w:t>
            </w:r>
          </w:p>
        </w:tc>
        <w:tc>
          <w:tcPr>
            <w:tcW w:w="0" w:type="dxa"/>
            <w:vAlign w:val="bottom"/>
          </w:tcPr>
          <w:p>
            <w:pPr>
              <w:spacing w:after="0"/>
              <w:rPr>
                <w:sz w:val="1"/>
                <w:szCs w:val="1"/>
                <w:color w:val="auto"/>
              </w:rPr>
            </w:pPr>
          </w:p>
        </w:tc>
      </w:tr>
      <w:tr>
        <w:trPr>
          <w:trHeight w:val="175"/>
        </w:trPr>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27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2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considers performance against pre-</w:t>
            </w:r>
          </w:p>
        </w:tc>
        <w:tc>
          <w:tcPr>
            <w:tcW w:w="27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Income, and Revenue</w:t>
            </w:r>
          </w:p>
        </w:tc>
        <w:tc>
          <w:tcPr>
            <w:tcW w:w="160" w:type="dxa"/>
            <w:vAlign w:val="bottom"/>
            <w:vMerge w:val="continue"/>
          </w:tcPr>
          <w:p>
            <w:pPr>
              <w:spacing w:after="0"/>
              <w:rPr>
                <w:sz w:val="15"/>
                <w:szCs w:val="15"/>
                <w:color w:val="auto"/>
              </w:rPr>
            </w:pPr>
          </w:p>
        </w:tc>
        <w:tc>
          <w:tcPr>
            <w:tcW w:w="26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Aligns management and</w:t>
            </w:r>
          </w:p>
        </w:tc>
        <w:tc>
          <w:tcPr>
            <w:tcW w:w="0" w:type="dxa"/>
            <w:vAlign w:val="bottom"/>
          </w:tcPr>
          <w:p>
            <w:pPr>
              <w:spacing w:after="0"/>
              <w:rPr>
                <w:sz w:val="1"/>
                <w:szCs w:val="1"/>
                <w:color w:val="auto"/>
              </w:rPr>
            </w:pPr>
          </w:p>
        </w:tc>
      </w:tr>
      <w:tr>
        <w:trPr>
          <w:trHeight w:val="182"/>
        </w:trPr>
        <w:tc>
          <w:tcPr>
            <w:tcW w:w="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27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Paid in cash or in equity pursuant to</w:t>
            </w:r>
          </w:p>
        </w:tc>
        <w:tc>
          <w:tcPr>
            <w:tcW w:w="274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established goals, with discretion to</w:t>
            </w: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stockholder interests by linking</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27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our Senior Leadership Equity Bonus</w:t>
            </w:r>
          </w:p>
        </w:tc>
        <w:tc>
          <w:tcPr>
            <w:tcW w:w="274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reduce executive bonus payout</w:t>
            </w: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pay to performance</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Program</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amounts</w:t>
            </w: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incentives in the form of</w:t>
            </w:r>
          </w:p>
        </w:tc>
        <w:tc>
          <w:tcPr>
            <w:tcW w:w="274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Compensation committee</w:t>
            </w:r>
          </w:p>
        </w:tc>
        <w:tc>
          <w:tcPr>
            <w:tcW w:w="27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Cash value of a unit as of the date of</w:t>
            </w:r>
          </w:p>
        </w:tc>
        <w:tc>
          <w:tcPr>
            <w:tcW w:w="16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Serves a retention function</w:t>
            </w:r>
          </w:p>
        </w:tc>
        <w:tc>
          <w:tcPr>
            <w:tcW w:w="0" w:type="dxa"/>
            <w:vAlign w:val="bottom"/>
          </w:tcPr>
          <w:p>
            <w:pPr>
              <w:spacing w:after="0"/>
              <w:rPr>
                <w:sz w:val="1"/>
                <w:szCs w:val="1"/>
                <w:color w:val="auto"/>
              </w:rPr>
            </w:pPr>
          </w:p>
        </w:tc>
      </w:tr>
      <w:tr>
        <w:trPr>
          <w:trHeight w:val="180"/>
        </w:trPr>
        <w:tc>
          <w:tcPr>
            <w:tcW w:w="2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RSUs</w:t>
            </w:r>
          </w:p>
        </w:tc>
        <w:tc>
          <w:tcPr>
            <w:tcW w:w="27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determines amounts and terms of</w:t>
            </w:r>
          </w:p>
        </w:tc>
        <w:tc>
          <w:tcPr>
            <w:tcW w:w="2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vesting is based on stock price on</w:t>
            </w:r>
          </w:p>
        </w:tc>
        <w:tc>
          <w:tcPr>
            <w:tcW w:w="16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Aligns management and</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27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2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RSU grants for executive officers</w:t>
            </w:r>
          </w:p>
        </w:tc>
        <w:tc>
          <w:tcPr>
            <w:tcW w:w="27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date of vesting, and therefore</w:t>
            </w:r>
          </w:p>
        </w:tc>
        <w:tc>
          <w:tcPr>
            <w:tcW w:w="160" w:type="dxa"/>
            <w:vAlign w:val="bottom"/>
            <w:shd w:val="clear" w:color="auto" w:fill="CCEEFF"/>
          </w:tcPr>
          <w:p>
            <w:pPr>
              <w:spacing w:after="0"/>
              <w:rPr>
                <w:sz w:val="15"/>
                <w:szCs w:val="15"/>
                <w:color w:val="auto"/>
              </w:rPr>
            </w:pPr>
          </w:p>
        </w:tc>
        <w:tc>
          <w:tcPr>
            <w:tcW w:w="2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stockholder interests by</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w:t>
            </w:r>
          </w:p>
        </w:tc>
        <w:tc>
          <w:tcPr>
            <w:tcW w:w="278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i w:val="1"/>
                <w:iCs w:val="1"/>
                <w:color w:val="auto"/>
              </w:rPr>
              <w:t>Paid in stock</w:t>
            </w:r>
          </w:p>
        </w:tc>
        <w:tc>
          <w:tcPr>
            <w:tcW w:w="2740" w:type="dxa"/>
            <w:vAlign w:val="bottom"/>
            <w:shd w:val="clear" w:color="auto" w:fill="CCEEFF"/>
          </w:tcPr>
          <w:p>
            <w:pPr>
              <w:spacing w:after="0"/>
              <w:rPr>
                <w:sz w:val="16"/>
                <w:szCs w:val="16"/>
                <w:color w:val="auto"/>
              </w:rPr>
            </w:pPr>
          </w:p>
        </w:tc>
        <w:tc>
          <w:tcPr>
            <w:tcW w:w="27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linked to overall performance and</w:t>
            </w:r>
          </w:p>
        </w:tc>
        <w:tc>
          <w:tcPr>
            <w:tcW w:w="160" w:type="dxa"/>
            <w:vAlign w:val="bottom"/>
            <w:shd w:val="clear" w:color="auto" w:fill="CCEEFF"/>
          </w:tcPr>
          <w:p>
            <w:pPr>
              <w:spacing w:after="0"/>
              <w:rPr>
                <w:sz w:val="16"/>
                <w:szCs w:val="16"/>
                <w:color w:val="auto"/>
              </w:rPr>
            </w:pPr>
          </w:p>
        </w:tc>
        <w:tc>
          <w:tcPr>
            <w:tcW w:w="26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facilitating management</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the creation of value for our</w:t>
            </w:r>
          </w:p>
        </w:tc>
        <w:tc>
          <w:tcPr>
            <w:tcW w:w="160" w:type="dxa"/>
            <w:vAlign w:val="bottom"/>
            <w:shd w:val="clear" w:color="auto" w:fill="CCEEFF"/>
          </w:tcPr>
          <w:p>
            <w:pPr>
              <w:spacing w:after="0"/>
              <w:rPr>
                <w:sz w:val="15"/>
                <w:szCs w:val="15"/>
                <w:color w:val="auto"/>
              </w:rPr>
            </w:pPr>
          </w:p>
        </w:tc>
        <w:tc>
          <w:tcPr>
            <w:tcW w:w="26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ownership and tying value of</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7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15"/>
                <w:szCs w:val="15"/>
                <w:color w:val="auto"/>
              </w:rPr>
            </w:pPr>
          </w:p>
        </w:tc>
        <w:tc>
          <w:tcPr>
            <w:tcW w:w="2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award at vesting to stock price at</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vesting</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position relative to the competitive market information. Base salaries are reviewed by our compensation committee annually and are adjusted from time-to-time as deemed appropriate.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fiscal year 2022, there were no adjustments to base salaries for any of our named executive officers. Set forth below are the base salaries for each of the named executive officers for fiscal year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632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8"/>
                <w:szCs w:val="18"/>
                <w:b w:val="1"/>
                <w:bCs w:val="1"/>
                <w:color w:val="auto"/>
              </w:rPr>
              <w:t>Base Salary ($)</w:t>
            </w:r>
          </w:p>
        </w:tc>
      </w:tr>
      <w:tr>
        <w:trPr>
          <w:trHeight w:val="223"/>
        </w:trPr>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63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400,000</w:t>
            </w:r>
          </w:p>
        </w:tc>
      </w:tr>
      <w:tr>
        <w:trPr>
          <w:trHeight w:val="230"/>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Gordon</w:t>
            </w:r>
          </w:p>
        </w:tc>
        <w:tc>
          <w:tcPr>
            <w:tcW w:w="6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325,000</w:t>
            </w:r>
          </w:p>
        </w:tc>
      </w:tr>
      <w:tr>
        <w:trPr>
          <w:trHeight w:val="230"/>
        </w:trPr>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6320" w:type="dxa"/>
            <w:vAlign w:val="bottom"/>
            <w:shd w:val="clear" w:color="auto" w:fill="CCEEFF"/>
          </w:tcPr>
          <w:p>
            <w:pPr>
              <w:jc w:val="center"/>
              <w:ind w:left="630"/>
              <w:spacing w:after="0" w:line="230" w:lineRule="exact"/>
              <w:rPr>
                <w:sz w:val="20"/>
                <w:szCs w:val="20"/>
                <w:color w:val="auto"/>
              </w:rPr>
            </w:pPr>
            <w:r>
              <w:rPr>
                <w:rFonts w:ascii="Times New Roman" w:cs="Times New Roman" w:eastAsia="Times New Roman" w:hAnsi="Times New Roman"/>
                <w:sz w:val="18"/>
                <w:szCs w:val="18"/>
                <w:color w:val="auto"/>
                <w:w w:val="94"/>
              </w:rPr>
              <w:t>269,676</w:t>
            </w:r>
            <w:r>
              <w:rPr>
                <w:rFonts w:ascii="Times New Roman" w:cs="Times New Roman" w:eastAsia="Times New Roman" w:hAnsi="Times New Roman"/>
                <w:sz w:val="23"/>
                <w:szCs w:val="23"/>
                <w:color w:val="auto"/>
                <w:w w:val="94"/>
                <w:vertAlign w:val="superscript"/>
              </w:rPr>
              <w:t>(1)</w:t>
            </w:r>
          </w:p>
        </w:tc>
      </w:tr>
      <w:tr>
        <w:trPr>
          <w:trHeight w:val="234"/>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Porter</w:t>
            </w:r>
          </w:p>
        </w:tc>
        <w:tc>
          <w:tcPr>
            <w:tcW w:w="6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325,000</w:t>
            </w:r>
          </w:p>
        </w:tc>
      </w:tr>
    </w:tbl>
    <w:p>
      <w:pPr>
        <w:spacing w:after="0" w:line="175" w:lineRule="exact"/>
        <w:rPr>
          <w:sz w:val="20"/>
          <w:szCs w:val="20"/>
          <w:color w:val="auto"/>
        </w:rPr>
      </w:pPr>
    </w:p>
    <w:p>
      <w:pPr>
        <w:ind w:left="340" w:right="220" w:hanging="332"/>
        <w:spacing w:after="0" w:line="221" w:lineRule="auto"/>
        <w:tabs>
          <w:tab w:leader="none" w:pos="269"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base salary is paid in Swiss Francs (CHF) and, for the purposes of the table, is converted into U.S. dollars based on the exchange rate as of January 31, 2022 of 1.07 CHF to the U.S. dollar.</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actual base salary amounts paid to our named executive officers for fiscal year 2022 are set forth in the “Summary Compensation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Performance-Based Bonus Program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annual performance-based bonus program for named executive officers provides incentive compensation that is specifically designed to motivate our named executive officers to achieve pre-established company-wide priorities set by the board of directors and to reward them for results and achievements in a given year. The annual target bonus opportunities for our named executive officers are determined by the compensation committee in the first quarter of each fiscal year and expressed as a percentage of their annual base salary, with the potential bonus opportunity generally commensurate with each executive’s role and responsibilities. The bonus program has historically been paid out in cash; however, in an effort to further align their interests with that of our stockholders, beginning in fiscal year 2021 and continued for fiscal year 2022, our named executive officers and other senior executives had the opportunity to exchange their bonus cash compensation opportunity for an equity-based opportunity, pursuant to our Senior Leadership Equity Bonus Program, as more fully described below.</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Target Award Opportunities</w:t>
      </w:r>
      <w:r>
        <w:rPr>
          <w:rFonts w:ascii="Times New Roman" w:cs="Times New Roman" w:eastAsia="Times New Roman" w:hAnsi="Times New Roman"/>
          <w:sz w:val="18"/>
          <w:szCs w:val="18"/>
          <w:color w:val="auto"/>
        </w:rPr>
        <w:t>. The target annual performance-based bonus award opportunities of our named executive officers were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compensation committee in the first quarter of fiscal year 2022 and expressed as a percentage of their annual base salary,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FY2021 Target Bonus</w:t>
            </w:r>
          </w:p>
        </w:tc>
        <w:tc>
          <w:tcPr>
            <w:tcW w:w="30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FY2022 Target Bonus Opportunity</w:t>
            </w: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FY2022 Target Bonus Opportunity</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Opportunity (%)</w:t>
            </w:r>
          </w:p>
        </w:tc>
        <w:tc>
          <w:tcPr>
            <w:tcW w:w="30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26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70</w:t>
            </w:r>
          </w:p>
        </w:tc>
        <w:tc>
          <w:tcPr>
            <w:tcW w:w="30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70</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280,000</w:t>
            </w:r>
          </w:p>
        </w:tc>
        <w:tc>
          <w:tcPr>
            <w:tcW w:w="0" w:type="dxa"/>
            <w:vAlign w:val="bottom"/>
          </w:tcPr>
          <w:p>
            <w:pPr>
              <w:spacing w:after="0"/>
              <w:rPr>
                <w:sz w:val="1"/>
                <w:szCs w:val="1"/>
                <w:color w:val="auto"/>
              </w:rPr>
            </w:pPr>
          </w:p>
        </w:tc>
      </w:tr>
      <w:tr>
        <w:trPr>
          <w:trHeight w:val="230"/>
        </w:trPr>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Gordon</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65</w:t>
            </w:r>
          </w:p>
        </w:tc>
        <w:tc>
          <w:tcPr>
            <w:tcW w:w="3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211,250</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26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140</w:t>
            </w:r>
          </w:p>
        </w:tc>
        <w:tc>
          <w:tcPr>
            <w:tcW w:w="30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140</w:t>
            </w:r>
          </w:p>
        </w:tc>
        <w:tc>
          <w:tcPr>
            <w:tcW w:w="28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377,547</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34"/>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 Porter</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65</w:t>
            </w:r>
          </w:p>
        </w:tc>
        <w:tc>
          <w:tcPr>
            <w:tcW w:w="3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hanging="332"/>
        <w:spacing w:after="0"/>
        <w:tabs>
          <w:tab w:leader="none" w:pos="313"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bonus is paid in Swiss Francs (CHF) and, for the purposes of the table, is converted into U.S. dollars based on the exchange rate as of January 31, 2022 of 1.07 CHF to the U.S. dollar.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year 2022, there were no adjustments to target bonus opportunities for any of our named executive officers.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Executive Bonus Goal Setting</w:t>
      </w:r>
      <w:r>
        <w:rPr>
          <w:rFonts w:ascii="Times New Roman" w:cs="Times New Roman" w:eastAsia="Times New Roman" w:hAnsi="Times New Roman"/>
          <w:sz w:val="18"/>
          <w:szCs w:val="18"/>
          <w:color w:val="auto"/>
        </w:rPr>
        <w:t>. The compensation committee approved the performance metrics and their relative weighting for fiscal year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bonus awards in the first quarter of fiscal year 2022. The targets against which performance is measured are generated through our annual budget and strategic planning process, which was reviewed with our board of directors and finalized in the first quarter of fiscal year 2022. For fiscal year 2022, the compensation committee again determined that the performance goals for our named executive officers would be comprised entirely of corporate performance goals. The compensation committee believes that these goals represent rigorous objectives for our named executive officers and align with stockholder interests. The named executive officers’ fiscal year 2022 performance-based bonus awards are tied to the achievement of these goals, as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040" w:type="dxa"/>
            <w:vAlign w:val="bottom"/>
            <w:tcBorders>
              <w:bottom w:val="single" w:sz="8" w:color="auto"/>
            </w:tcBorders>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Company Performance Goal</w:t>
            </w:r>
            <w:r>
              <w:rPr>
                <w:rFonts w:ascii="Times New Roman" w:cs="Times New Roman" w:eastAsia="Times New Roman" w:hAnsi="Times New Roman"/>
                <w:sz w:val="23"/>
                <w:szCs w:val="23"/>
                <w:b w:val="1"/>
                <w:bCs w:val="1"/>
                <w:color w:val="auto"/>
                <w:vertAlign w:val="superscript"/>
              </w:rPr>
              <w:t>(1)</w:t>
            </w:r>
          </w:p>
        </w:tc>
        <w:tc>
          <w:tcPr>
            <w:tcW w:w="2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 than Chief Revenue</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Chief Revenue Officer</w:t>
            </w:r>
            <w:r>
              <w:rPr>
                <w:rFonts w:ascii="Times New Roman" w:cs="Times New Roman" w:eastAsia="Times New Roman" w:hAnsi="Times New Roman"/>
                <w:sz w:val="23"/>
                <w:szCs w:val="23"/>
                <w:b w:val="1"/>
                <w:bCs w:val="1"/>
                <w:color w:val="auto"/>
                <w:w w:val="96"/>
                <w:vertAlign w:val="superscript"/>
              </w:rPr>
              <w:t>(3)</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auto"/>
            </w:tcBorders>
            <w:vMerge w:val="continue"/>
          </w:tcPr>
          <w:p>
            <w:pPr>
              <w:spacing w:after="0"/>
              <w:rPr>
                <w:sz w:val="21"/>
                <w:szCs w:val="21"/>
                <w:color w:val="auto"/>
              </w:rPr>
            </w:pPr>
          </w:p>
        </w:tc>
        <w:tc>
          <w:tcPr>
            <w:tcW w:w="25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Officer</w:t>
            </w:r>
            <w:r>
              <w:rPr>
                <w:rFonts w:ascii="Times New Roman" w:cs="Times New Roman" w:eastAsia="Times New Roman" w:hAnsi="Times New Roman"/>
                <w:sz w:val="23"/>
                <w:szCs w:val="23"/>
                <w:b w:val="1"/>
                <w:bCs w:val="1"/>
                <w:color w:val="auto"/>
                <w:w w:val="93"/>
                <w:vertAlign w:val="superscript"/>
              </w:rPr>
              <w:t>(2)</w:t>
            </w:r>
          </w:p>
        </w:tc>
        <w:tc>
          <w:tcPr>
            <w:tcW w:w="2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New ARR</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0" w:type="dxa"/>
            <w:vAlign w:val="bottom"/>
          </w:tcPr>
          <w:p>
            <w:pPr>
              <w:spacing w:after="0"/>
              <w:rPr>
                <w:sz w:val="1"/>
                <w:szCs w:val="1"/>
                <w:color w:val="auto"/>
              </w:rPr>
            </w:pPr>
          </w:p>
        </w:tc>
      </w:tr>
      <w:tr>
        <w:trPr>
          <w:trHeight w:val="230"/>
        </w:trPr>
        <w:tc>
          <w:tcPr>
            <w:tcW w:w="620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3"/>
                <w:szCs w:val="23"/>
                <w:color w:val="auto"/>
                <w:vertAlign w:val="superscript"/>
              </w:rPr>
              <w:t>(4)</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2022 operating plan.</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34"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named executive officers, other than our Chief Revenue Officer, will only earn a bonus if the executive’s attainment in the aggregate is at least 83.3% of the performance target. For purposes of calculating the bonus payout amount, when the executive’s attainment exceeds the performance target, accelerators are triggered in order to reward the higher than expected performance, while decelerators are applied if the actual results are lower than the performance target. The payout range for the performance-based bonus awards (after applying the decelerator/accelerator factor) is 50-150% of the executive’s target bonus opportunity. Actual payouts for fiscal year 2022 are included in the “Summary Compensation Table” below.</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13"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Chief Revenue Officer will only earn the portion of his bonus that is tied to Revenue and Non-GAAP Operating Income performance if his combined attainment for the two goals is at least 83.3% of the performance target for these goals. For purposes of calculating the bonus payout amount that is tied to Revenue and Non-GAAP Operating Income performance, when the executive’s attainment exceeds the performance target, accelerators are triggered in order to reward the higher than expected performance, while decelerators are applied if the actual results are lower than the performance target. The payout range for the portion of his bonus that is tied to Revenue and Non-GAAP Operating Income performance (after applying the decelerator/accelerator factor) is 50-150% of the portion of his cash bonus opportunity attributed to Revenue and Non-GAAP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4"/>
          <w:szCs w:val="14"/>
          <w:color w:val="auto"/>
        </w:rPr>
        <w:t>Income. The portion of the Chief Revenue Officer's bonus tied to Net New ARR is calculated based on a percentage of the Company's contract bookings and is not subject to a maximum payout. These commission payments are intended to provide incentive for our Chief Revenue Officer to continue to grow our business and generate revenues, and the rates of payment are set to provide challenging but achievable goals to motivate him. Our Chief Revenue Officer's actual payout for fiscal year 2022 is included in the “Summary Compensation Table” below.</w:t>
      </w:r>
    </w:p>
    <w:p>
      <w:pPr>
        <w:spacing w:after="0" w:line="164" w:lineRule="exact"/>
        <w:rPr>
          <w:sz w:val="20"/>
          <w:szCs w:val="20"/>
          <w:color w:val="auto"/>
        </w:rPr>
      </w:pPr>
    </w:p>
    <w:p>
      <w:pPr>
        <w:ind w:left="340" w:hanging="332"/>
        <w:spacing w:after="0" w:line="205" w:lineRule="auto"/>
        <w:tabs>
          <w:tab w:leader="none" w:pos="429"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Non-GAAP operating income is defined as GAAP operating income adjusted for stock-based compensation expense and amortization of intangible assets and post-combination compensation expense associated with prior acquisitions.</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FY2022 Bonus Payouts</w:t>
      </w:r>
      <w:r>
        <w:rPr>
          <w:rFonts w:ascii="Times New Roman" w:cs="Times New Roman" w:eastAsia="Times New Roman" w:hAnsi="Times New Roman"/>
          <w:sz w:val="18"/>
          <w:szCs w:val="18"/>
          <w:color w:val="auto"/>
        </w:rPr>
        <w:t>. For our named executive officers other than the Chief Revenue Officer, the compensation committee generally considers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approves actual performance-based bonus award payments for the first half of the fiscal year at their first meeting following July 31 of that fiscal year, and considers and approves actual performance-based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Conversely, in the event the amounts determined and paid for the first half of the fiscal year are subsequently determined to be higher than the amounts earned based on full year performance, such excess amounts may be deducted from the year-end payouts at the committee’s discretion. For our Chief Revenue Officer, amounts are determined and paid on a quarterly basis. When revenue and non-GAAP operating income performance for the first three quarters of the fiscal year is tracking at a level that is higher than 100% achievement, the portion of his payment that is tied to revenue and Non-GAAP operating income performance will be paid based on 100% achievement, with any additional amounts earned to be paid with the fourth quarter payment, when performance for the entire year is determined.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the compensation committee approved payouts for the first half of fiscal year 2022 based on 100% achievement for all the named executive officers other than our Chief Revenue Officer, resulting in a bonus payout equal to 50% of these executives’ annual target bonus opportunities. While performance was tracking at a higher level overall for the corporate performance goals, the compensation committee determined that it was prudent to make these payments at the level described above until performance for the entire year could be determined, consistent with past practice. In March 2022, achievement of the corporate performance goals for fiscal year 2022 for these named executive officers was determined to be 122% of target in the aggregate resulting in a 150% payout due to accelerators. The compensation committee approved the actual bonus payments to these executives for fiscal year 2022, as set forth in the table below. Only the portion of each bonus set forth below that was earned in excess of the amount determined and paid in August 2021 (as described above) was paid in March 2022.</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Chief Revenue Officer, the bonus was paid quarterly based on the performance metrics described above and in accordance with the terms of his fiscal year 2022 sales variable compensation plan set at the beginning of the fiscal year. For the portion of his payment that is tied to revenue and Non-GAAP operating income performance, the first three quarterly payments were paid based on 100% achievement, and additional amounts earned were paid with the fourth quarter payment. The actual bonus amount set forth below represents the aggregate amount of the quarterly payments earned pursuant to the plan. Achievement under the plan was determined to be 121% of his target in the aggregate, resulting in a 222% payout due to accelerators.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23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FY2022 Target Bonus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FY2022 Bonus –</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Bonus</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Corporate Performance</w:t>
            </w:r>
          </w:p>
        </w:tc>
        <w:tc>
          <w:tcPr>
            <w:tcW w:w="2020" w:type="dxa"/>
            <w:vAlign w:val="bottom"/>
            <w:vMerge w:val="continue"/>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Annual Bonus</w:t>
            </w:r>
          </w:p>
        </w:tc>
        <w:tc>
          <w:tcPr>
            <w:tcW w:w="0" w:type="dxa"/>
            <w:vAlign w:val="bottom"/>
          </w:tcPr>
          <w:p>
            <w:pPr>
              <w:spacing w:after="0"/>
              <w:rPr>
                <w:sz w:val="1"/>
                <w:szCs w:val="1"/>
                <w:color w:val="auto"/>
              </w:rPr>
            </w:pPr>
          </w:p>
        </w:tc>
      </w:tr>
      <w:tr>
        <w:trPr>
          <w:trHeight w:val="18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340" w:type="dxa"/>
            <w:vAlign w:val="bottom"/>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2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2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Earned</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a % of Target Bonus)</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280,000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2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420,000</w:t>
            </w:r>
            <w:r>
              <w:rPr>
                <w:rFonts w:ascii="Times New Roman" w:cs="Times New Roman" w:eastAsia="Times New Roman" w:hAnsi="Times New Roman"/>
                <w:sz w:val="23"/>
                <w:szCs w:val="23"/>
                <w:color w:val="auto"/>
                <w:w w:val="94"/>
                <w:vertAlign w:val="superscript"/>
              </w:rPr>
              <w:t>(1)</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211,250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316,875</w:t>
            </w:r>
            <w:r>
              <w:rPr>
                <w:rFonts w:ascii="Times New Roman" w:cs="Times New Roman" w:eastAsia="Times New Roman" w:hAnsi="Times New Roman"/>
                <w:sz w:val="23"/>
                <w:szCs w:val="23"/>
                <w:color w:val="auto"/>
                <w:w w:val="94"/>
                <w:vertAlign w:val="superscript"/>
              </w:rPr>
              <w:t>(1)</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40" w:type="dxa"/>
            <w:vAlign w:val="bottom"/>
            <w:shd w:val="clear" w:color="auto" w:fill="CCEEFF"/>
          </w:tcPr>
          <w:p>
            <w:pPr>
              <w:jc w:val="center"/>
              <w:ind w:left="170"/>
              <w:spacing w:after="0" w:line="230" w:lineRule="exact"/>
              <w:rPr>
                <w:sz w:val="20"/>
                <w:szCs w:val="20"/>
                <w:color w:val="auto"/>
              </w:rPr>
            </w:pPr>
            <w:r>
              <w:rPr>
                <w:rFonts w:ascii="Times New Roman" w:cs="Times New Roman" w:eastAsia="Times New Roman" w:hAnsi="Times New Roman"/>
                <w:sz w:val="18"/>
                <w:szCs w:val="18"/>
                <w:color w:val="auto"/>
                <w:w w:val="94"/>
              </w:rPr>
              <w:t>377,547</w:t>
            </w:r>
            <w:r>
              <w:rPr>
                <w:rFonts w:ascii="Times New Roman" w:cs="Times New Roman" w:eastAsia="Times New Roman" w:hAnsi="Times New Roman"/>
                <w:sz w:val="23"/>
                <w:szCs w:val="23"/>
                <w:color w:val="auto"/>
                <w:w w:val="94"/>
                <w:vertAlign w:val="superscript"/>
              </w:rPr>
              <w:t>(2)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121</w:t>
            </w:r>
          </w:p>
        </w:tc>
        <w:tc>
          <w:tcPr>
            <w:tcW w:w="20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837,186</w:t>
            </w:r>
            <w:r>
              <w:rPr>
                <w:rFonts w:ascii="Times New Roman" w:cs="Times New Roman" w:eastAsia="Times New Roman" w:hAnsi="Times New Roman"/>
                <w:sz w:val="23"/>
                <w:szCs w:val="23"/>
                <w:color w:val="auto"/>
                <w:w w:val="94"/>
                <w:vertAlign w:val="superscript"/>
              </w:rPr>
              <w:t>(2)</w:t>
            </w:r>
          </w:p>
        </w:tc>
        <w:tc>
          <w:tcPr>
            <w:tcW w:w="22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222</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30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2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211,250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316,875</w:t>
            </w:r>
            <w:r>
              <w:rPr>
                <w:rFonts w:ascii="Times New Roman" w:cs="Times New Roman" w:eastAsia="Times New Roman" w:hAnsi="Times New Roman"/>
                <w:sz w:val="23"/>
                <w:szCs w:val="23"/>
                <w:color w:val="auto"/>
                <w:w w:val="94"/>
                <w:vertAlign w:val="superscript"/>
              </w:rPr>
              <w:t>(1)</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Messrs. Ittycheria, Gordon and Porter were paid in restricted stock units in lieu of cash, pursuant to the Senior Leadership Equity Bonus Program described below.</w:t>
      </w:r>
    </w:p>
    <w:p>
      <w:pPr>
        <w:spacing w:after="0" w:line="81" w:lineRule="exact"/>
        <w:rPr>
          <w:rFonts w:ascii="Times New Roman" w:cs="Times New Roman" w:eastAsia="Times New Roman" w:hAnsi="Times New Roman"/>
          <w:sz w:val="23"/>
          <w:szCs w:val="23"/>
          <w:color w:val="auto"/>
          <w:vertAlign w:val="superscript"/>
        </w:rPr>
      </w:pPr>
    </w:p>
    <w:p>
      <w:pPr>
        <w:ind w:left="340" w:right="100" w:hanging="332"/>
        <w:spacing w:after="0" w:line="205" w:lineRule="auto"/>
        <w:tabs>
          <w:tab w:leader="none" w:pos="296"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bonus is set and paid in Swiss Francs (CHF) and, for the purposes of the table, is converted into U.S. dollars based on the exchange rate as of January 31, 2022 of 1.07 CHF to the U.S. dollar.</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12"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Actual bonus earned, which represents the aggregate amount of quarterly payments earned by Mr. Pech over the year, differs from the actual bonus as a percentage of target amount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Leadership Equity Bonus Program. </w:t>
      </w:r>
      <w:r>
        <w:rPr>
          <w:rFonts w:ascii="Times New Roman" w:cs="Times New Roman" w:eastAsia="Times New Roman" w:hAnsi="Times New Roman"/>
          <w:sz w:val="18"/>
          <w:szCs w:val="18"/>
          <w:color w:val="auto"/>
        </w:rPr>
        <w:t>In order to encourage our executives to increase their equity holdings and further align their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that of our stockholders, beginning in fiscal year 2021 and continuing for fiscal year 2022, the compensation committee approved a Senior Leadership Equity Bonus Program. Under this program, certain senior executives, including our executive officers, could elect, at the beginning of the fiscal year, to have their performance-based bonus award structured as a stock-settled award (the “bonus stock award”) in the form described below, rather than being paid in cash. Under the terms of the program, senior executives who elect to participate receive their annual incentive award as a bonus stock award will receive a restricted stock unit award that vests in two installments following the determinations of the bonus award achieved for the first half and second half of the fiscal year. The value of the bonus stock awards received by participants in the program is equal to 100% of the cash bonus exchanged, without premium, calculated based on the closing price of our common stock on a date shortly prior to the grant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Chief Executive Officer, Chief Operating Officer &amp; Chief Financial Officer and Chief Technology Officer, elected to participate in the program.</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Below are the details of the bonus stock awards issued to our Chief Executive Officer, Chief Operating Officer &amp; Chief Financial Officer and Chief Technology Officer pursuant to the program.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Number of Shares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Earned under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32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FY2022 Target Bonus Opportunity</w:t>
            </w: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Under FY2022 Bonus</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280" w:type="dxa"/>
            <w:vAlign w:val="bottom"/>
            <w:vMerge w:val="continue"/>
          </w:tcPr>
          <w:p>
            <w:pPr>
              <w:spacing w:after="0"/>
              <w:rPr>
                <w:sz w:val="16"/>
                <w:szCs w:val="16"/>
                <w:color w:val="auto"/>
              </w:rPr>
            </w:pPr>
          </w:p>
        </w:tc>
        <w:tc>
          <w:tcPr>
            <w:tcW w:w="2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 Awards in Lieu of Cash</w:t>
            </w:r>
          </w:p>
        </w:tc>
        <w:tc>
          <w:tcPr>
            <w:tcW w:w="2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Bonus Stock Awards in Lieu of</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32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4"/>
              </w:rPr>
              <w:t>Bonus</w:t>
            </w:r>
            <w:r>
              <w:rPr>
                <w:rFonts w:ascii="Times New Roman" w:cs="Times New Roman" w:eastAsia="Times New Roman" w:hAnsi="Times New Roman"/>
                <w:sz w:val="23"/>
                <w:szCs w:val="23"/>
                <w:b w:val="1"/>
                <w:bCs w:val="1"/>
                <w:color w:val="auto"/>
                <w:w w:val="94"/>
                <w:vertAlign w:val="superscript"/>
              </w:rPr>
              <w:t>(1)</w:t>
            </w:r>
          </w:p>
        </w:tc>
        <w:tc>
          <w:tcPr>
            <w:tcW w:w="28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Cash Payout</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32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280,000</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878</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1,318</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3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5"/>
              </w:rPr>
              <w:t>211,250</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663</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32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5"/>
              </w:rPr>
              <w:t>211,250</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663</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80" w:hanging="272"/>
        <w:spacing w:after="0"/>
        <w:tabs>
          <w:tab w:leader="none" w:pos="28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target number of stock units to be awarded was determined by dividing the executive’s target bonus opportunity by $318.83, the closing stock price as of March 16, 2021.</w:t>
      </w:r>
    </w:p>
    <w:p>
      <w:pPr>
        <w:spacing w:after="0" w:line="81" w:lineRule="exact"/>
        <w:rPr>
          <w:rFonts w:ascii="Times New Roman" w:cs="Times New Roman" w:eastAsia="Times New Roman" w:hAnsi="Times New Roman"/>
          <w:sz w:val="23"/>
          <w:szCs w:val="23"/>
          <w:color w:val="auto"/>
          <w:vertAlign w:val="superscript"/>
        </w:rPr>
      </w:pPr>
    </w:p>
    <w:p>
      <w:pPr>
        <w:ind w:left="340" w:hanging="332"/>
        <w:spacing w:after="0" w:line="235" w:lineRule="auto"/>
        <w:tabs>
          <w:tab w:leader="none" w:pos="296"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Consistent with the cash bonus program, the executive may vest in up to 150% of the target number of shares underlying the bonus stock award, including the effect of the accelerators. For Mr. Ittycheria, 439 shares underlying his bonus stock award vested for the first half of fiscal year 2022 and 879 shares underlying the bonus stock award vested for the second half of fiscal year 2022. For Messrs. Gordon and Porter, 331 shares underlying their bonus stock award vested for the first half of fiscal year 2022 and 663 shares underlying the bonus stock award vested for the second half of fiscal year 2022. The first half vesting was capped at 100%, with additional amounts earned paid as part of the second half vesting, consistent with the methodology described above for the bonus compensation program.</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performance-based bonus award payments made to our named executive officers for fiscal year 2022 are set forth in the “Summary Compensation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Awards (Long-Term Incentive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Long-term incentive compensation in the form of equity awards is an important tool for us to attract industry leaders of the highest caliber and to retain them for the long term. We provide long-term incentive compensation to ensure that a significant portion of named executive officer compensation is tied to our long-term results and increases in stockholder value. The majority of our named executive officers’ target total direct compensation opportunity in fiscal year 2022 was provided in the form of long-term equity awards. In fiscal year 2022, the compensation committee approved long-term incentive awards to our named executive officers consisting of RSUs.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initial equity award that each executive officer receives upon being hired, the compensation committee also grants some or all of our executive officers additional equity awards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 philosophy of more heavily weighting equity compensation over cash compensation, individual performance, competitive factors including competition for technology executives, peer group data, the size and value of unvested and outstanding equity compensation already held by each executive officer, the total annual target cash compensation opportunity for each named executive officer and retention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approved annual long-term incentive awards, consisting of RSUs, to our named executive officers in fiscal year 2022. All executives received annual long-term incentive RSU grants on February 26,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42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360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4220" w:type="dxa"/>
            <w:vAlign w:val="bottom"/>
            <w:vMerge w:val="continue"/>
          </w:tcPr>
          <w:p>
            <w:pPr>
              <w:spacing w:after="0"/>
              <w:rPr>
                <w:sz w:val="15"/>
                <w:szCs w:val="15"/>
                <w:color w:val="auto"/>
              </w:rPr>
            </w:pPr>
          </w:p>
        </w:tc>
        <w:tc>
          <w:tcPr>
            <w:tcW w:w="360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89"/>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2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b w:val="1"/>
                <w:bCs w:val="1"/>
                <w:color w:val="auto"/>
                <w:w w:val="97"/>
              </w:rPr>
              <w:t>RSUs</w:t>
            </w:r>
          </w:p>
        </w:tc>
        <w:tc>
          <w:tcPr>
            <w:tcW w:w="3600" w:type="dxa"/>
            <w:vAlign w:val="bottom"/>
          </w:tcPr>
          <w:p>
            <w:pPr>
              <w:jc w:val="center"/>
              <w:ind w:right="75"/>
              <w:spacing w:after="0" w:line="18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auto"/>
            </w:tcBorders>
            <w:vMerge w:val="continue"/>
          </w:tcPr>
          <w:p>
            <w:pPr>
              <w:spacing w:after="0"/>
              <w:rPr>
                <w:sz w:val="19"/>
                <w:szCs w:val="19"/>
                <w:color w:val="auto"/>
              </w:rPr>
            </w:pPr>
          </w:p>
        </w:tc>
        <w:tc>
          <w:tcPr>
            <w:tcW w:w="42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00" w:type="dxa"/>
            <w:vAlign w:val="bottom"/>
            <w:tcBorders>
              <w:bottom w:val="single" w:sz="8" w:color="auto"/>
            </w:tcBorders>
          </w:tcPr>
          <w:p>
            <w:pPr>
              <w:jc w:val="center"/>
              <w:ind w:right="55"/>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220" w:type="dxa"/>
            <w:vAlign w:val="bottom"/>
            <w:shd w:val="clear" w:color="auto" w:fill="CCEEFF"/>
          </w:tcPr>
          <w:p>
            <w:pPr>
              <w:jc w:val="center"/>
              <w:ind w:left="70"/>
              <w:spacing w:after="0" w:line="223" w:lineRule="exact"/>
              <w:rPr>
                <w:sz w:val="20"/>
                <w:szCs w:val="20"/>
                <w:color w:val="auto"/>
              </w:rPr>
            </w:pPr>
            <w:r>
              <w:rPr>
                <w:rFonts w:ascii="Times New Roman" w:cs="Times New Roman" w:eastAsia="Times New Roman" w:hAnsi="Times New Roman"/>
                <w:sz w:val="18"/>
                <w:szCs w:val="18"/>
                <w:color w:val="auto"/>
                <w:w w:val="91"/>
              </w:rPr>
              <w:t>25,614</w:t>
            </w:r>
            <w:r>
              <w:rPr>
                <w:rFonts w:ascii="Times New Roman" w:cs="Times New Roman" w:eastAsia="Times New Roman" w:hAnsi="Times New Roman"/>
                <w:sz w:val="23"/>
                <w:szCs w:val="23"/>
                <w:color w:val="auto"/>
                <w:w w:val="91"/>
                <w:vertAlign w:val="superscript"/>
              </w:rPr>
              <w:t>(2)</w:t>
            </w:r>
          </w:p>
        </w:tc>
        <w:tc>
          <w:tcPr>
            <w:tcW w:w="360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9,885,211</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220" w:type="dxa"/>
            <w:vAlign w:val="bottom"/>
          </w:tcPr>
          <w:p>
            <w:pPr>
              <w:jc w:val="center"/>
              <w:ind w:left="70"/>
              <w:spacing w:after="0" w:line="230" w:lineRule="exact"/>
              <w:rPr>
                <w:sz w:val="20"/>
                <w:szCs w:val="20"/>
                <w:color w:val="auto"/>
              </w:rPr>
            </w:pPr>
            <w:r>
              <w:rPr>
                <w:rFonts w:ascii="Times New Roman" w:cs="Times New Roman" w:eastAsia="Times New Roman" w:hAnsi="Times New Roman"/>
                <w:sz w:val="18"/>
                <w:szCs w:val="18"/>
                <w:color w:val="auto"/>
                <w:w w:val="91"/>
              </w:rPr>
              <w:t>12,225</w:t>
            </w:r>
            <w:r>
              <w:rPr>
                <w:rFonts w:ascii="Times New Roman" w:cs="Times New Roman" w:eastAsia="Times New Roman" w:hAnsi="Times New Roman"/>
                <w:sz w:val="23"/>
                <w:szCs w:val="23"/>
                <w:color w:val="auto"/>
                <w:w w:val="91"/>
                <w:vertAlign w:val="superscript"/>
              </w:rPr>
              <w:t>(2)</w:t>
            </w:r>
          </w:p>
        </w:tc>
        <w:tc>
          <w:tcPr>
            <w:tcW w:w="360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9"/>
              </w:rPr>
              <w:t>4,717,994</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220" w:type="dxa"/>
            <w:vAlign w:val="bottom"/>
            <w:shd w:val="clear" w:color="auto" w:fill="CCEEFF"/>
          </w:tcPr>
          <w:p>
            <w:pPr>
              <w:jc w:val="center"/>
              <w:ind w:left="70"/>
              <w:spacing w:after="0" w:line="230" w:lineRule="exact"/>
              <w:rPr>
                <w:sz w:val="20"/>
                <w:szCs w:val="20"/>
                <w:color w:val="auto"/>
              </w:rPr>
            </w:pPr>
            <w:r>
              <w:rPr>
                <w:rFonts w:ascii="Times New Roman" w:cs="Times New Roman" w:eastAsia="Times New Roman" w:hAnsi="Times New Roman"/>
                <w:sz w:val="18"/>
                <w:szCs w:val="18"/>
                <w:color w:val="auto"/>
                <w:w w:val="91"/>
              </w:rPr>
              <w:t>14,554</w:t>
            </w:r>
            <w:r>
              <w:rPr>
                <w:rFonts w:ascii="Times New Roman" w:cs="Times New Roman" w:eastAsia="Times New Roman" w:hAnsi="Times New Roman"/>
                <w:sz w:val="23"/>
                <w:szCs w:val="23"/>
                <w:color w:val="auto"/>
                <w:w w:val="91"/>
                <w:vertAlign w:val="superscript"/>
              </w:rPr>
              <w:t>(2)</w:t>
            </w:r>
          </w:p>
        </w:tc>
        <w:tc>
          <w:tcPr>
            <w:tcW w:w="360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5,616,825</w:t>
            </w:r>
          </w:p>
        </w:tc>
        <w:tc>
          <w:tcPr>
            <w:tcW w:w="0" w:type="dxa"/>
            <w:vAlign w:val="bottom"/>
          </w:tcPr>
          <w:p>
            <w:pPr>
              <w:spacing w:after="0"/>
              <w:rPr>
                <w:sz w:val="1"/>
                <w:szCs w:val="1"/>
                <w:color w:val="auto"/>
              </w:rPr>
            </w:pPr>
          </w:p>
        </w:tc>
      </w:tr>
      <w:tr>
        <w:trPr>
          <w:trHeight w:val="30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4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2"/>
              </w:rPr>
              <w:t>8,732</w:t>
            </w:r>
            <w:r>
              <w:rPr>
                <w:rFonts w:ascii="Times New Roman" w:cs="Times New Roman" w:eastAsia="Times New Roman" w:hAnsi="Times New Roman"/>
                <w:sz w:val="23"/>
                <w:szCs w:val="23"/>
                <w:color w:val="auto"/>
                <w:w w:val="92"/>
                <w:vertAlign w:val="superscript"/>
              </w:rPr>
              <w:t>(2)</w:t>
            </w:r>
          </w:p>
        </w:tc>
        <w:tc>
          <w:tcPr>
            <w:tcW w:w="360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9"/>
              </w:rPr>
              <w:t>3,369,941</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80" w:hanging="272"/>
        <w:spacing w:after="0"/>
        <w:tabs>
          <w:tab w:leader="none" w:pos="28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w:t>
      </w:r>
    </w:p>
    <w:p>
      <w:pPr>
        <w:spacing w:after="0" w:line="78" w:lineRule="exact"/>
        <w:rPr>
          <w:rFonts w:ascii="Times New Roman" w:cs="Times New Roman" w:eastAsia="Times New Roman" w:hAnsi="Times New Roman"/>
          <w:sz w:val="23"/>
          <w:szCs w:val="23"/>
          <w:color w:val="auto"/>
          <w:vertAlign w:val="superscript"/>
        </w:rPr>
      </w:pPr>
    </w:p>
    <w:p>
      <w:pPr>
        <w:ind w:left="260" w:hanging="252"/>
        <w:spacing w:after="0" w:line="181" w:lineRule="auto"/>
        <w:tabs>
          <w:tab w:leader="none" w:pos="26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Awards granted on February 26, 2021.</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Each RSU is the economic equivalent of one share of MongoDB’s common stock and is settled in shares of MongoDB’s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RSUs granted to Messrs. Ittycheria, Gordon and Pech for fiscal year 2022 are subject to time-based vesting over four years, with 1/16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shares granted vesting each quarter following the vesting commencement date, contingent on their continued employment with us through each vesting date. The RSUs granted to Mr. Porter, are subject to time-based vesting over four years, with twenty percent (20%) of the shares subject to the award vesting in the second year in quarterly installments following the vesting commencement date, forty percent (40%) vesting in the third year in quarterly installments following the vesting commencement date and forty percent (40%) vesting in the fourth year in quarterly installments following the vesting commencement date, subject to his continued employment with us through each vesting date. The custom backloaded vesting schedule for Mr. Porter's 2022 grant was structured in consideration of current outstanding equity holdings, as significant award value is scheduled to vest from grants received upon initially stepping into role in 2020.</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the following practices regarding equity compensation grants:</w:t>
      </w:r>
    </w:p>
    <w:p>
      <w:pPr>
        <w:spacing w:after="0" w:line="229" w:lineRule="exact"/>
        <w:rPr>
          <w:sz w:val="20"/>
          <w:szCs w:val="20"/>
          <w:color w:val="auto"/>
        </w:rPr>
      </w:pPr>
    </w:p>
    <w:p>
      <w:pPr>
        <w:ind w:left="9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strategically time long-term incentive awards in coordination with the release of material non-public information and have never had a practice of doing so.</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timed and do not plan to time the release of material non-public information for the purpose of affecting the value of executive compensation.</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grants granted to our directors at our 2021 annual meeting and executive officers and other employees for fiscal year 2022, we determine the number of shares based on a target dollar value, calculated using the 60-day VWAP of our stock on, or a few days prior to, the grant date. For equity grants to be granted to our non-employee directors at our 2022 annual meeting and to our executive officers and other employees for fiscal year 2023, we will determine the number of shares based on a target dollar value, calculated using the 30-day VWAP of our stock on, or a few days prior to, the grant date. We believe that using the VWAP mitigates the effect of any variations in stock price that may occur in the final minutes of trading if the closing price were used.</w:t>
      </w:r>
    </w:p>
    <w:p>
      <w:pPr>
        <w:spacing w:after="0" w:line="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equity awards granted by us is compliant with accounting principles generally accepted in the United States and is disclosed in our annual and quarterly financial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receive the same employee benefits that are generally available to all full-time employees in their respective jurisdictions, subject to the satisfaction of certain eligibility requirements.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US-based named executive officers (Messrs. Ittycheria, Gordon and Porter),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applicable annual limits set forth in the Internal Revenue Code of 1986, as amended (the “Code”). In fiscal year 2022, we did not provide an employer match on employee contributions.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in part by us and in part by the employee, with contribution amounts dependent on an employee's salary and 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to make our executive officers more efficient and effective, to help ensure the data privacy and cybersecurity of our executive officers and for recruitment and retention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 and 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The key terms of employment with our named executive officers are described below.</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Dev Ittycheria</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amended and restated offer letter with Dev Ittycheria, our President and Chief Executive Officer, dated September 29, 2017, as further amended and restated in December 2021 which sets forth the terms and conditions of his employment with us. Mr. Ittycheria’s annual base salary for the fiscal year ended January 31, 2022 was $400,000. Mr. Ittycheria is also eligible to receive an annual target bonus of 70% of his base salary pursuant to our bonus plan. Mr. Ittycheria’s employment is at will and may be terminated at any time, with or without cause.</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offer letter agreement with Mr. Ittycheria provides that, if we terminate Mr. Ittycheria for any reason other than for “cause,”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(i) payment of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Ittycheria and acceleration of vesting of then-outstanding performance-based unvested equity 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Gordon</w:t>
      </w:r>
    </w:p>
    <w:p>
      <w:pPr>
        <w:spacing w:after="0" w:line="1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amended and restated offer letter with Michael Gordon, our Chief Operating Officer and Chief Financial Officer, dated September 29, 2017, as further amended and restated in January 2022 which sets forth the terms and conditions of his employment with us. Mr. Gordon’s annual base salary for the fiscal year ended January 31, 2022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$325,000. Mr. Gordon is also eligible to receive an annual target bonus of 65% of his base salary pursuant to our bonus plan. Mr. Gordon’s employment is at will and may be terminated at any time, with or without cause.</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offer letter agreement with Mr. Gordon provides that if we terminate Mr. Gordon for any reason other than for “cause,” death or disability, or Mr. Gordon resigns his position with us for “good reason” (as such terms are defined in his offer letter), Mr. Gordon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in the event such termination or resignation occurs either in connection with, or within three months prior to or 12 months after, a change in control, Mr. Gordon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Gordon and acceleration of vesting of then-outstanding performance-based unvested equity awards held by Mr. Gordon based on the greater of target performance or actual performance. Payment of any of the above-described severance benefits is conditioned on the delivery and non-revocation of a general release of claims in our favor within 50 days after Mr. Gordon’s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Porter</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offer letter with Mark Porter, our Chief Technology Officer, dated June 27, 2020, as further amended and restated in December 2021 which sets forth the terms and conditions of his employment with us. Mr. Porter’s annual base salary for the fiscal year ended January 31, 2022 was $325,000. Mr. Porter is also eligible to receive an annual target bonus of 65% of his base salary pursuant to our bonus plan. Mr. Porter’s employment is at will and may be terminated at any time, with or without cause.</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offer letter agreement with Mr. Porter provides that if we terminate Mr. Porter for any reason other than for “cause,” death or disability, or Mr. Porter resigns his position with us for “good reason” (as such terms are defined in his offer letter), Mr. Porter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in the event such termination or resignation occurs either in connection with, or within three months prior to or 12 months after, a change in control, Mr. Porter would also be entitled to receive (i) payment of his target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Porter and acceleration of vesting of then-outstanding performance-based unvested equity awards held by Mr. Porter based on the greater of target performance or actual performance. Payment of any of the above-described severance benefits is conditioned on the delivery and non-revocation of a general release of claims in our favor within 50 days after Mr. Porter’s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Cedric Pech</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a Swiss-law governed employment agreement with Cedric Pech, our Chief Revenue Officer, dated February 6, 2019, as further amended and restated in January 2022, which set forth the terms and conditions of his employment with us. Mr. Pech’s annual base salary for the fiscal year ended January 31, 2022 was $269,676. Mr. Pech is also eligible to receive annual target sales compensation of 140% of his base salary pursuant to our variable compensation plan. The initial terms and conditions of Mr. Pech’s employment are set forth in his written employment agreement. Mr. Pech’s base salary and target sales compensation are set and paid in CHF and converted into U.S. dollars for purposes of these disclosures based on the exchange rate as of January 31, 2022 of 1.07 CHF to the U.S. dollar.</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employment agreement with Mr. Pech provides that, if we terminate Mr. Pech for any reason other than for “cause,”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Pech and acceleration of vesting of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share-based compensation expense on an ongoing basis according to ASC 718.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Recoupment (“Claw back”) Policy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policy that provides for the recoupment of an executive officer’s incentive-based compensation in the event that we restate our financial results due to our material noncompliance with any financial reporting requirement, and such executive officer’s fraud, dishonesty, gross recklessness or gross negligence contributed to the need for such restatement, and the compensation earned by such executive officer was based on achieving financial results in excess of what could have been earned by such executive officer based on the restated financial results, in all cases as determined by our board of directors. The policy applies to incentive-based compensation granted or received after the effective date of the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Prohibiting Hedging and Pledging of Our Equity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our employees, directors and consultants from pledging or engaging in hedging or similar transactions in our stock, such as prepaid variable forwards, equity swaps, collars, puts, calls and short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stock ownership guidelines for our executive officers. The guidelines require that, within five years of the date the guidelines were adopted or five years of first becoming one of our executive officers, each executive officer own at least a number of shares of common stock equal to a multiple of the executive’s base salary, as follows:</w:t>
      </w:r>
    </w:p>
    <w:p>
      <w:pPr>
        <w:spacing w:after="0" w:line="176"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must hold shares of MongoDB common stock with a value equal to five times his base salary; and</w:t>
      </w:r>
    </w:p>
    <w:p>
      <w:pPr>
        <w:spacing w:after="0" w:line="117" w:lineRule="exact"/>
        <w:rPr>
          <w:rFonts w:ascii="Times New Roman" w:cs="Times New Roman" w:eastAsia="Times New Roman" w:hAnsi="Times New Roman"/>
          <w:sz w:val="18"/>
          <w:szCs w:val="18"/>
          <w:color w:val="auto"/>
        </w:rPr>
      </w:pPr>
    </w:p>
    <w:p>
      <w:pPr>
        <w:ind w:left="660" w:right="1300" w:hanging="4"/>
        <w:spacing w:after="0" w:line="375" w:lineRule="auto"/>
        <w:tabs>
          <w:tab w:leader="none" w:pos="9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shares of MongoDB common stock with a value equal to three times their base salary. The following shares of our common stock count towards compliance with the guidelines: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the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by the executive officer and spouse;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a trust established by the executive officer for the benefit of the executive officer and/or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equal to the number of vested deferred stock units credited to the executive officer under any arrangement maintained by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the executive officer’s 401(k) plan account;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shares of time-based restricted stock/restricted stock units.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Unvested and unearned performance-vesting shares/units, unvested restricted shares/units and unexercised stock options (whether vested or unvested) do not count towards director or executive officers’ compliance with the guidelines.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January 31, 2022, all of our executive officers were in compliance with our Stock Ownership Policy, other than Mark Porter who has five years from his employment start date, July 20, 2020, to meet the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spacing w:after="0" w:line="187"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between fixed and variable compensation, short and long-term compensation, and cash and equity payouts;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executive compensation program by an independent compensation consultant.</w:t>
      </w:r>
    </w:p>
    <w:p>
      <w:pPr>
        <w:spacing w:after="0" w:line="3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also has oversight over our responsibility to review all our compensation policies and procedures, including the incentives that they create, to determine whether they present a significant risk. In consultation with management and FW Cook, in May 2022,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Tables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for our fiscal year ended January 31, 2022 in accordance with SEC rules.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30"/>
                <w:szCs w:val="30"/>
                <w:b w:val="1"/>
                <w:bCs w:val="1"/>
                <w:color w:val="auto"/>
                <w:w w:val="93"/>
                <w:vertAlign w:val="subscript"/>
              </w:rPr>
              <w:t>($)</w:t>
            </w:r>
            <w:r>
              <w:rPr>
                <w:rFonts w:ascii="Times New Roman" w:cs="Times New Roman" w:eastAsia="Times New Roman" w:hAnsi="Times New Roman"/>
                <w:sz w:val="11"/>
                <w:szCs w:val="11"/>
                <w:b w:val="1"/>
                <w:bCs w:val="1"/>
                <w:color w:val="auto"/>
                <w:w w:val="93"/>
              </w:rPr>
              <w:t>(1)</w:t>
            </w:r>
          </w:p>
        </w:tc>
        <w:tc>
          <w:tcPr>
            <w:tcW w:w="15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30"/>
                <w:szCs w:val="30"/>
                <w:b w:val="1"/>
                <w:bCs w:val="1"/>
                <w:color w:val="auto"/>
                <w:w w:val="93"/>
                <w:vertAlign w:val="subscript"/>
              </w:rPr>
              <w:t>($)</w:t>
            </w:r>
            <w:r>
              <w:rPr>
                <w:rFonts w:ascii="Times New Roman" w:cs="Times New Roman" w:eastAsia="Times New Roman" w:hAnsi="Times New Roman"/>
                <w:sz w:val="11"/>
                <w:szCs w:val="11"/>
                <w:b w:val="1"/>
                <w:bCs w:val="1"/>
                <w:color w:val="auto"/>
                <w:w w:val="93"/>
              </w:rPr>
              <w:t>(2)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5"/>
              </w:rPr>
              <w:t>10,135,257</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31,500</w:t>
            </w:r>
            <w:r>
              <w:rPr>
                <w:rFonts w:ascii="Times New Roman" w:cs="Times New Roman" w:eastAsia="Times New Roman" w:hAnsi="Times New Roman"/>
                <w:sz w:val="23"/>
                <w:szCs w:val="23"/>
                <w:color w:val="auto"/>
                <w:w w:val="94"/>
                <w:vertAlign w:val="superscript"/>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10,566,757</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8,096,935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8,528,435</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8,526,198</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406,000</w:t>
            </w:r>
          </w:p>
        </w:tc>
        <w:tc>
          <w:tcPr>
            <w:tcW w:w="16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26,922</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9,359,120</w:t>
            </w:r>
          </w:p>
        </w:tc>
        <w:tc>
          <w:tcPr>
            <w:tcW w:w="0" w:type="dxa"/>
            <w:vAlign w:val="bottom"/>
          </w:tcPr>
          <w:p>
            <w:pPr>
              <w:spacing w:after="0"/>
              <w:rPr>
                <w:sz w:val="1"/>
                <w:szCs w:val="1"/>
                <w:color w:val="auto"/>
              </w:rPr>
            </w:pPr>
          </w:p>
        </w:tc>
      </w:tr>
      <w:tr>
        <w:trPr>
          <w:trHeight w:val="95"/>
        </w:trPr>
        <w:tc>
          <w:tcPr>
            <w:tcW w:w="2000" w:type="dxa"/>
            <w:vAlign w:val="bottom"/>
            <w:tcBorders>
              <w:bottom w:val="single" w:sz="8" w:color="CCEEFF"/>
            </w:tcBorders>
            <w:shd w:val="clear" w:color="auto" w:fill="CCEEFF"/>
          </w:tcPr>
          <w:p>
            <w:pPr>
              <w:spacing w:after="0"/>
              <w:rPr>
                <w:sz w:val="8"/>
                <w:szCs w:val="8"/>
                <w:color w:val="auto"/>
              </w:rPr>
            </w:pPr>
          </w:p>
        </w:tc>
        <w:tc>
          <w:tcPr>
            <w:tcW w:w="1520" w:type="dxa"/>
            <w:vAlign w:val="bottom"/>
            <w:tcBorders>
              <w:bottom w:val="single" w:sz="8" w:color="CCEEFF"/>
            </w:tcBorders>
            <w:vMerge w:val="continue"/>
            <w:shd w:val="clear" w:color="auto" w:fill="CCEEFF"/>
          </w:tcPr>
          <w:p>
            <w:pPr>
              <w:spacing w:after="0"/>
              <w:rPr>
                <w:sz w:val="8"/>
                <w:szCs w:val="8"/>
                <w:color w:val="auto"/>
              </w:rPr>
            </w:pPr>
          </w:p>
        </w:tc>
        <w:tc>
          <w:tcPr>
            <w:tcW w:w="1520" w:type="dxa"/>
            <w:vAlign w:val="bottom"/>
            <w:tcBorders>
              <w:bottom w:val="single" w:sz="8" w:color="CCEEFF"/>
            </w:tcBorders>
            <w:vMerge w:val="continue"/>
            <w:shd w:val="clear" w:color="auto" w:fill="CCEEFF"/>
          </w:tcPr>
          <w:p>
            <w:pPr>
              <w:spacing w:after="0"/>
              <w:rPr>
                <w:sz w:val="8"/>
                <w:szCs w:val="8"/>
                <w:color w:val="auto"/>
              </w:rPr>
            </w:pPr>
          </w:p>
        </w:tc>
        <w:tc>
          <w:tcPr>
            <w:tcW w:w="1480" w:type="dxa"/>
            <w:vAlign w:val="bottom"/>
            <w:tcBorders>
              <w:bottom w:val="single" w:sz="8" w:color="CCEEFF"/>
            </w:tcBorders>
            <w:vMerge w:val="continue"/>
            <w:shd w:val="clear" w:color="auto" w:fill="CCEEFF"/>
          </w:tcPr>
          <w:p>
            <w:pPr>
              <w:spacing w:after="0"/>
              <w:rPr>
                <w:sz w:val="8"/>
                <w:szCs w:val="8"/>
                <w:color w:val="auto"/>
              </w:rPr>
            </w:pPr>
          </w:p>
        </w:tc>
        <w:tc>
          <w:tcPr>
            <w:tcW w:w="1580" w:type="dxa"/>
            <w:vAlign w:val="bottom"/>
            <w:tcBorders>
              <w:bottom w:val="single" w:sz="8" w:color="CCEEFF"/>
            </w:tcBorders>
            <w:vMerge w:val="continue"/>
            <w:shd w:val="clear" w:color="auto" w:fill="CCEEFF"/>
          </w:tcPr>
          <w:p>
            <w:pPr>
              <w:spacing w:after="0"/>
              <w:rPr>
                <w:sz w:val="8"/>
                <w:szCs w:val="8"/>
                <w:color w:val="auto"/>
              </w:rPr>
            </w:pPr>
          </w:p>
        </w:tc>
        <w:tc>
          <w:tcPr>
            <w:tcW w:w="1600" w:type="dxa"/>
            <w:vAlign w:val="bottom"/>
            <w:tcBorders>
              <w:bottom w:val="single" w:sz="8" w:color="CCEEFF"/>
            </w:tcBorders>
            <w:vMerge w:val="continue"/>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4,906,810</w:t>
            </w:r>
            <w:r>
              <w:rPr>
                <w:rFonts w:ascii="Times New Roman" w:cs="Times New Roman" w:eastAsia="Times New Roman" w:hAnsi="Times New Roman"/>
                <w:sz w:val="23"/>
                <w:szCs w:val="23"/>
                <w:color w:val="auto"/>
                <w:w w:val="95"/>
                <w:vertAlign w:val="superscript"/>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31,500</w:t>
            </w:r>
            <w:r>
              <w:rPr>
                <w:rFonts w:ascii="Times New Roman" w:cs="Times New Roman" w:eastAsia="Times New Roman" w:hAnsi="Times New Roman"/>
                <w:sz w:val="23"/>
                <w:szCs w:val="23"/>
                <w:color w:val="auto"/>
                <w:w w:val="94"/>
                <w:vertAlign w:val="superscript"/>
              </w:rPr>
              <w:t>(4)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5,263,310</w:t>
            </w: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3,911,374</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4,267,874</w:t>
            </w:r>
          </w:p>
        </w:tc>
        <w:tc>
          <w:tcPr>
            <w:tcW w:w="0" w:type="dxa"/>
            <w:vAlign w:val="bottom"/>
          </w:tcPr>
          <w:p>
            <w:pPr>
              <w:spacing w:after="0"/>
              <w:rPr>
                <w:sz w:val="1"/>
                <w:szCs w:val="1"/>
                <w:color w:val="auto"/>
              </w:rPr>
            </w:pPr>
          </w:p>
        </w:tc>
      </w:tr>
      <w:tr>
        <w:trPr>
          <w:trHeight w:val="128"/>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and Chief Financial</w:t>
            </w:r>
          </w:p>
        </w:tc>
        <w:tc>
          <w:tcPr>
            <w:tcW w:w="15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0" w:type="dxa"/>
            <w:vAlign w:val="bottom"/>
            <w:vMerge w:val="continue"/>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4,584,799</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306,313</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26,686</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5,242,798</w:t>
            </w:r>
          </w:p>
        </w:tc>
        <w:tc>
          <w:tcPr>
            <w:tcW w:w="0" w:type="dxa"/>
            <w:vAlign w:val="bottom"/>
          </w:tcPr>
          <w:p>
            <w:pPr>
              <w:spacing w:after="0"/>
              <w:rPr>
                <w:sz w:val="1"/>
                <w:szCs w:val="1"/>
                <w:color w:val="auto"/>
              </w:rPr>
            </w:pPr>
          </w:p>
        </w:tc>
      </w:tr>
      <w:tr>
        <w:trPr>
          <w:trHeight w:val="23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2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269,676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5,616,825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837,186</w:t>
            </w:r>
          </w:p>
        </w:tc>
        <w:tc>
          <w:tcPr>
            <w:tcW w:w="16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135,845</w:t>
            </w:r>
            <w:r>
              <w:rPr>
                <w:rFonts w:ascii="Times New Roman" w:cs="Times New Roman" w:eastAsia="Times New Roman" w:hAnsi="Times New Roman"/>
                <w:sz w:val="23"/>
                <w:szCs w:val="23"/>
                <w:color w:val="auto"/>
                <w:w w:val="94"/>
                <w:vertAlign w:val="superscript"/>
              </w:rPr>
              <w:t>(6)</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6,859,532</w:t>
            </w:r>
          </w:p>
        </w:tc>
        <w:tc>
          <w:tcPr>
            <w:tcW w:w="0" w:type="dxa"/>
            <w:vAlign w:val="bottom"/>
          </w:tcPr>
          <w:p>
            <w:pPr>
              <w:spacing w:after="0"/>
              <w:rPr>
                <w:sz w:val="1"/>
                <w:szCs w:val="1"/>
                <w:color w:val="auto"/>
              </w:rPr>
            </w:pPr>
          </w:p>
        </w:tc>
      </w:tr>
      <w:tr>
        <w:trPr>
          <w:trHeight w:val="31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Revenue Officer</w:t>
            </w:r>
            <w:r>
              <w:rPr>
                <w:rFonts w:ascii="Times New Roman" w:cs="Times New Roman" w:eastAsia="Times New Roman" w:hAnsi="Times New Roman"/>
                <w:sz w:val="23"/>
                <w:szCs w:val="23"/>
                <w:color w:val="auto"/>
                <w:vertAlign w:val="superscript"/>
              </w:rPr>
              <w:t>(5)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282,277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3,398,386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534,787</w:t>
            </w:r>
          </w:p>
        </w:tc>
        <w:tc>
          <w:tcPr>
            <w:tcW w:w="16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115,831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4,331,281</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259,594</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2,227,342</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462,336</w:t>
            </w:r>
          </w:p>
        </w:tc>
        <w:tc>
          <w:tcPr>
            <w:tcW w:w="1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146,009</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3,095,281</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3,558,757</w:t>
            </w:r>
            <w:r>
              <w:rPr>
                <w:rFonts w:ascii="Times New Roman" w:cs="Times New Roman" w:eastAsia="Times New Roman" w:hAnsi="Times New Roman"/>
                <w:sz w:val="23"/>
                <w:szCs w:val="23"/>
                <w:color w:val="auto"/>
                <w:w w:val="95"/>
                <w:vertAlign w:val="superscript"/>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31,500</w:t>
            </w:r>
            <w:r>
              <w:rPr>
                <w:rFonts w:ascii="Times New Roman" w:cs="Times New Roman" w:eastAsia="Times New Roman" w:hAnsi="Times New Roman"/>
                <w:sz w:val="23"/>
                <w:szCs w:val="23"/>
                <w:color w:val="auto"/>
                <w:w w:val="94"/>
                <w:vertAlign w:val="superscript"/>
              </w:rPr>
              <w:t>(4)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3,915,257</w:t>
            </w:r>
          </w:p>
        </w:tc>
        <w:tc>
          <w:tcPr>
            <w:tcW w:w="0" w:type="dxa"/>
            <w:vAlign w:val="bottom"/>
          </w:tcPr>
          <w:p>
            <w:pPr>
              <w:spacing w:after="0"/>
              <w:rPr>
                <w:sz w:val="1"/>
                <w:szCs w:val="1"/>
                <w:color w:val="auto"/>
              </w:rPr>
            </w:pPr>
          </w:p>
        </w:tc>
      </w:tr>
      <w:tr>
        <w:trPr>
          <w:trHeight w:val="23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188,605</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8,745,267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159,931</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17,375</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9,111,178</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340" w:hanging="332"/>
        <w:spacing w:after="0" w:line="225" w:lineRule="auto"/>
        <w:tabs>
          <w:tab w:leader="none" w:pos="36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represent the value of equity awards granted during the year. These amounts do not necessarily correspond to the actual value recognized or that may be recognized by the named executive officers. Equity awards granted during each year include: (a) awards of time-based RSUs and (b) awards of PSUs pursuant to the Senior Leadership Equity Bonus Program, each granted under the 2016 Plan. RSU and PSU awards are valued based on the closing price of our Class A common stock on the grant date in accordance with ASC 718. In valuing the PSU awards, we assumed the probable achievement of the target levels for the performance goals.</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3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executives other than Mr. Pech, represents annual performance-based cash bonus awards. The amounts reported represent performance-based cash bonus awards earned by the named executive officer based on the achievement of certain company goals and the individual's target bonus amount. Bonus awards are paid semi-annually, based on the achievement of the company objectives set at the beginning of the fiscal year. For fiscal year 2022, Messrs. Ittycheria, Gordon and Porter did not receive a performance-based cash bonus award, as they elected to be paid in equity in lieu of cash. Please see the section titled “Senior Leadership Equity Bonus Program” in our Compensation Discussion and Analysis for additional details. For Mr. Pech, the amount reported represents compensation earned by Mr. Pech based on the achievement of certain company objectives and sales targets under our sales variable compensation plan, which were set at the beginning of the fiscal year. Bonus compensation for Mr. Pech was paid quarterly. Please see the section titled “Short-Term Performance-Based Bonus Program” in our Compensation Discussion and Analysis for additional details.</w:t>
      </w:r>
    </w:p>
    <w:p>
      <w:pPr>
        <w:spacing w:after="0" w:line="97"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25"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an award of PSUs granted pursuant to the executive's election to receive a bonus stock award under the Senior Leadership Equity Bonus Program in lieu of fiscal year 2022 non-equity incentive compensation. For Mr. Ittycheria, includes 878 PSUs with a grant date fair value of $250,046. For Messrs. Gordon and Porter includes 663 PSUs with a grant date fair value of $188,816. Assuming that maximum performance is achieved under the program, the value of the awards made to Messrs. Ittycheria, Gordon and Porter at the date of grant would have been $375,353, $283,081 and $283,081, respectively. Please see the section titled “Senior Leadership Equity Bonus Program” in our Compensation Discussion and Analysis and the “Grants of Plan-Based Awards” table for additional details.</w:t>
      </w:r>
    </w:p>
    <w:p>
      <w:pPr>
        <w:spacing w:after="0" w:line="21"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expenses incurred by us related to a cybersecurity assessment and related services (“Cybersecurity Services”) at the executive’s personal residence.</w:t>
      </w:r>
    </w:p>
    <w:p>
      <w:pPr>
        <w:spacing w:after="0" w:line="81"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13"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compensation was paid in CHF and, for the purposes of the table, converted into U.S. dollars based on the exchange rate as of January 31, 2022 of 1.07 CHF to U.S. dollar for fiscal year 2022 (except for the Cybersecurity Services which were paid in U.S. dollars). Values for fiscal year 2021 were calculated based on the exchange rate of January 31, 2021 of 1.12 CHF to U.S. dollar (except for the Cybersecurity Services which were paid in U.S. dollars). Values for fiscal year 2020 were calculated based on the exchange rate as of January 31, 2020 of 1.03 CHF to U.S. dollar (except for the Cybersecurity Services which were paid in U.S. dollars).</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45"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 a monthly housing and health coverage allowance of $38,828, (b) a health allowance of $5,650, (c) $31,500 of expenses incurred by us for Cybersecurity Services at the executive’s personal residence, (d) employer contributions to a Swiss pension (defined contribution) plan of $57,895 and (e) life insurance (or similar risk insurance) premiums paid by us of $1,972.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January 31, 2022.</w:t>
      </w:r>
    </w:p>
    <w:p>
      <w:pPr>
        <w:sectPr>
          <w:pgSz w:w="11900" w:h="16838" w:orient="portrait"/>
          <w:cols w:equalWidth="0" w:num="1">
            <w:col w:w="11240"/>
          </w:cols>
          <w:pgMar w:left="320" w:top="369" w:right="339" w:bottom="1440" w:gutter="0" w:footer="0" w:header="0"/>
        </w:sect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8"/>
                <w:szCs w:val="18"/>
                <w:b w:val="1"/>
                <w:bCs w:val="1"/>
                <w:color w:val="auto"/>
                <w:w w:val="95"/>
                <w:vertAlign w:val="superscript"/>
              </w:rPr>
              <w:t>(2)</w:t>
            </w:r>
          </w:p>
        </w:tc>
        <w:tc>
          <w:tcPr>
            <w:tcW w:w="100" w:type="dxa"/>
            <w:vAlign w:val="bottom"/>
          </w:tcPr>
          <w:p>
            <w:pPr>
              <w:spacing w:after="0"/>
              <w:rPr>
                <w:sz w:val="17"/>
                <w:szCs w:val="17"/>
                <w:color w:val="auto"/>
              </w:rPr>
            </w:pPr>
          </w:p>
        </w:tc>
        <w:tc>
          <w:tcPr>
            <w:tcW w:w="25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Equity Incentive Plan Awards</w:t>
            </w:r>
            <w:r>
              <w:rPr>
                <w:rFonts w:ascii="Times New Roman" w:cs="Times New Roman" w:eastAsia="Times New Roman" w:hAnsi="Times New Roman"/>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8"/>
                <w:szCs w:val="18"/>
                <w:b w:val="1"/>
                <w:bCs w:val="1"/>
                <w:color w:val="auto"/>
                <w:vertAlign w:val="superscript"/>
              </w:rPr>
              <w:t>(1)</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Threshold (#)   Target (#)   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1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6"/>
        </w:trPr>
        <w:tc>
          <w:tcPr>
            <w:tcW w:w="13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 or</w:t>
            </w:r>
          </w:p>
        </w:tc>
        <w:tc>
          <w:tcPr>
            <w:tcW w:w="1100" w:type="dxa"/>
            <w:vAlign w:val="bottom"/>
          </w:tcPr>
          <w:p>
            <w:pPr>
              <w:jc w:val="center"/>
              <w:ind w:left="29"/>
              <w:spacing w:after="0" w:line="135"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49"/>
        </w:trPr>
        <w:tc>
          <w:tcPr>
            <w:tcW w:w="13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10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r>
              <w:rPr>
                <w:rFonts w:ascii="Times New Roman" w:cs="Times New Roman" w:eastAsia="Times New Roman" w:hAnsi="Times New Roman"/>
                <w:sz w:val="17"/>
                <w:szCs w:val="17"/>
                <w:b w:val="1"/>
                <w:bCs w:val="1"/>
                <w:color w:val="auto"/>
                <w:w w:val="96"/>
                <w:vertAlign w:val="superscript"/>
              </w:rPr>
              <w:t>(4)</w:t>
            </w:r>
          </w:p>
        </w:tc>
        <w:tc>
          <w:tcPr>
            <w:tcW w:w="0" w:type="dxa"/>
            <w:vAlign w:val="bottom"/>
          </w:tcPr>
          <w:p>
            <w:pPr>
              <w:spacing w:after="0"/>
              <w:rPr>
                <w:sz w:val="1"/>
                <w:szCs w:val="1"/>
                <w:color w:val="auto"/>
              </w:rPr>
            </w:pPr>
          </w:p>
        </w:tc>
      </w:tr>
      <w:tr>
        <w:trPr>
          <w:trHeight w:val="190"/>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8640" w:space="40"/>
            <w:col w:w="25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4/7/2021</w:t>
            </w:r>
          </w:p>
        </w:tc>
        <w:tc>
          <w:tcPr>
            <w:tcW w:w="1580" w:type="dxa"/>
            <w:vAlign w:val="bottom"/>
            <w:tcBorders>
              <w:top w:val="single" w:sz="8" w:color="auto"/>
            </w:tcBorders>
            <w:shd w:val="clear" w:color="auto" w:fill="CCEEFF"/>
          </w:tcPr>
          <w:p>
            <w:pPr>
              <w:jc w:val="center"/>
              <w:ind w:right="184"/>
              <w:spacing w:after="0"/>
              <w:rPr>
                <w:sz w:val="20"/>
                <w:szCs w:val="20"/>
                <w:color w:val="auto"/>
              </w:rPr>
            </w:pPr>
            <w:r>
              <w:rPr>
                <w:rFonts w:ascii="Times New Roman" w:cs="Times New Roman" w:eastAsia="Times New Roman" w:hAnsi="Times New Roman"/>
                <w:sz w:val="15"/>
                <w:szCs w:val="15"/>
                <w:color w:val="auto"/>
              </w:rPr>
              <w:t>PSU</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tcBorders>
              <w:top w:val="single" w:sz="8" w:color="auto"/>
            </w:tcBorders>
            <w:shd w:val="clear" w:color="auto" w:fill="CCEEFF"/>
          </w:tcPr>
          <w:p>
            <w:pPr>
              <w:jc w:val="center"/>
              <w:ind w:left="224"/>
              <w:spacing w:after="0"/>
              <w:rPr>
                <w:sz w:val="20"/>
                <w:szCs w:val="20"/>
                <w:color w:val="auto"/>
              </w:rPr>
            </w:pPr>
            <w:r>
              <w:rPr>
                <w:rFonts w:ascii="Times New Roman" w:cs="Times New Roman" w:eastAsia="Times New Roman" w:hAnsi="Times New Roman"/>
                <w:sz w:val="15"/>
                <w:szCs w:val="15"/>
                <w:color w:val="auto"/>
              </w:rPr>
              <w:t>439</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878</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1,318</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250,046</w:t>
            </w:r>
          </w:p>
        </w:tc>
      </w:tr>
      <w:tr>
        <w:trPr>
          <w:trHeight w:val="203"/>
        </w:trPr>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1580" w:type="dxa"/>
            <w:vAlign w:val="bottom"/>
            <w:shd w:val="clear" w:color="auto" w:fill="CCEEFF"/>
          </w:tcPr>
          <w:p>
            <w:pPr>
              <w:jc w:val="center"/>
              <w:ind w:right="204"/>
              <w:spacing w:after="0"/>
              <w:rPr>
                <w:sz w:val="20"/>
                <w:szCs w:val="20"/>
                <w:color w:val="auto"/>
              </w:rPr>
            </w:pPr>
            <w:r>
              <w:rPr>
                <w:rFonts w:ascii="Times New Roman" w:cs="Times New Roman" w:eastAsia="Times New Roman" w:hAnsi="Times New Roman"/>
                <w:sz w:val="15"/>
                <w:szCs w:val="15"/>
                <w:color w:val="auto"/>
              </w:rPr>
              <w:t>RSU</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shd w:val="clear" w:color="auto" w:fill="CCEEFF"/>
          </w:tcPr>
          <w:p>
            <w:pPr>
              <w:jc w:val="center"/>
              <w:ind w:left="2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25,614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9,885,211</w:t>
            </w:r>
          </w:p>
        </w:tc>
      </w:tr>
      <w:tr>
        <w:trPr>
          <w:trHeight w:val="198"/>
        </w:trPr>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4/7/2021</w:t>
            </w:r>
          </w:p>
        </w:tc>
        <w:tc>
          <w:tcPr>
            <w:tcW w:w="158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PSU</w:t>
            </w: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tcPr>
          <w:p>
            <w:pPr>
              <w:jc w:val="center"/>
              <w:ind w:left="224"/>
              <w:spacing w:after="0"/>
              <w:rPr>
                <w:sz w:val="20"/>
                <w:szCs w:val="20"/>
                <w:color w:val="auto"/>
              </w:rPr>
            </w:pPr>
            <w:r>
              <w:rPr>
                <w:rFonts w:ascii="Times New Roman" w:cs="Times New Roman" w:eastAsia="Times New Roman" w:hAnsi="Times New Roman"/>
                <w:sz w:val="15"/>
                <w:szCs w:val="15"/>
                <w:color w:val="auto"/>
              </w:rPr>
              <w:t>332</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663</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994</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188,816</w:t>
            </w:r>
          </w:p>
        </w:tc>
      </w:tr>
      <w:tr>
        <w:trPr>
          <w:trHeight w:val="203"/>
        </w:trPr>
        <w:tc>
          <w:tcPr>
            <w:tcW w:w="13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158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rPr>
              <w:t>RSU</w:t>
            </w: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tcPr>
          <w:p>
            <w:pPr>
              <w:jc w:val="center"/>
              <w:ind w:left="2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12,225</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4,717,994</w:t>
            </w:r>
          </w:p>
        </w:tc>
      </w:tr>
      <w:tr>
        <w:trPr>
          <w:trHeight w:val="207"/>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center"/>
              <w:ind w:right="184"/>
              <w:spacing w:after="0"/>
              <w:rPr>
                <w:sz w:val="20"/>
                <w:szCs w:val="20"/>
                <w:color w:val="auto"/>
              </w:rPr>
            </w:pPr>
            <w:r>
              <w:rPr>
                <w:rFonts w:ascii="Times New Roman" w:cs="Times New Roman" w:eastAsia="Times New Roman" w:hAnsi="Times New Roman"/>
                <w:sz w:val="15"/>
                <w:szCs w:val="15"/>
                <w:color w:val="auto"/>
              </w:rPr>
              <w:t>Annual Cash</w:t>
            </w:r>
          </w:p>
        </w:tc>
        <w:tc>
          <w:tcPr>
            <w:tcW w:w="1760" w:type="dxa"/>
            <w:vAlign w:val="bottom"/>
            <w:shd w:val="clear" w:color="auto" w:fill="CCEEFF"/>
          </w:tcPr>
          <w:p>
            <w:pPr>
              <w:jc w:val="center"/>
              <w:spacing w:after="0" w:line="206" w:lineRule="exact"/>
              <w:rPr>
                <w:sz w:val="20"/>
                <w:szCs w:val="20"/>
                <w:color w:val="auto"/>
              </w:rPr>
            </w:pPr>
            <w:r>
              <w:rPr>
                <w:rFonts w:ascii="Times New Roman" w:cs="Times New Roman" w:eastAsia="Times New Roman" w:hAnsi="Times New Roman"/>
                <w:sz w:val="15"/>
                <w:szCs w:val="15"/>
                <w:color w:val="auto"/>
                <w:w w:val="97"/>
              </w:rPr>
              <w:t>377,547</w:t>
            </w:r>
            <w:r>
              <w:rPr>
                <w:rFonts w:ascii="Times New Roman" w:cs="Times New Roman" w:eastAsia="Times New Roman" w:hAnsi="Times New Roman"/>
                <w:sz w:val="19"/>
                <w:szCs w:val="19"/>
                <w:color w:val="auto"/>
                <w:w w:val="97"/>
                <w:vertAlign w:val="superscript"/>
              </w:rPr>
              <w:t>(5)</w:t>
            </w:r>
          </w:p>
        </w:tc>
        <w:tc>
          <w:tcPr>
            <w:tcW w:w="1140" w:type="dxa"/>
            <w:vAlign w:val="bottom"/>
            <w:shd w:val="clear" w:color="auto" w:fill="CCEEFF"/>
          </w:tcPr>
          <w:p>
            <w:pPr>
              <w:jc w:val="center"/>
              <w:ind w:left="2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r>
      <w:tr>
        <w:trPr>
          <w:trHeight w:val="203"/>
        </w:trPr>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1580" w:type="dxa"/>
            <w:vAlign w:val="bottom"/>
            <w:shd w:val="clear" w:color="auto" w:fill="CCEEFF"/>
          </w:tcPr>
          <w:p>
            <w:pPr>
              <w:jc w:val="center"/>
              <w:ind w:right="204"/>
              <w:spacing w:after="0"/>
              <w:rPr>
                <w:sz w:val="20"/>
                <w:szCs w:val="20"/>
                <w:color w:val="auto"/>
              </w:rPr>
            </w:pPr>
            <w:r>
              <w:rPr>
                <w:rFonts w:ascii="Times New Roman" w:cs="Times New Roman" w:eastAsia="Times New Roman" w:hAnsi="Times New Roman"/>
                <w:sz w:val="15"/>
                <w:szCs w:val="15"/>
                <w:color w:val="auto"/>
              </w:rPr>
              <w:t>RSU</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shd w:val="clear" w:color="auto" w:fill="CCEEFF"/>
          </w:tcPr>
          <w:p>
            <w:pPr>
              <w:jc w:val="center"/>
              <w:ind w:left="2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14,554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5,616,825</w:t>
            </w:r>
          </w:p>
        </w:tc>
      </w:tr>
      <w:tr>
        <w:trPr>
          <w:trHeight w:val="198"/>
        </w:trPr>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 Porter</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4/7/2021</w:t>
            </w:r>
          </w:p>
        </w:tc>
        <w:tc>
          <w:tcPr>
            <w:tcW w:w="158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PSU</w:t>
            </w: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tcPr>
          <w:p>
            <w:pPr>
              <w:jc w:val="center"/>
              <w:ind w:left="224"/>
              <w:spacing w:after="0"/>
              <w:rPr>
                <w:sz w:val="20"/>
                <w:szCs w:val="20"/>
                <w:color w:val="auto"/>
              </w:rPr>
            </w:pPr>
            <w:r>
              <w:rPr>
                <w:rFonts w:ascii="Times New Roman" w:cs="Times New Roman" w:eastAsia="Times New Roman" w:hAnsi="Times New Roman"/>
                <w:sz w:val="15"/>
                <w:szCs w:val="15"/>
                <w:color w:val="auto"/>
              </w:rPr>
              <w:t>332</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663</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994</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188,816</w:t>
            </w:r>
          </w:p>
        </w:tc>
      </w:tr>
      <w:tr>
        <w:trPr>
          <w:trHeight w:val="199"/>
        </w:trPr>
        <w:tc>
          <w:tcPr>
            <w:tcW w:w="13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158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rPr>
              <w:t>RSU</w:t>
            </w: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tcPr>
          <w:p>
            <w:pPr>
              <w:jc w:val="center"/>
              <w:ind w:left="2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8,732</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3,369,941</w:t>
            </w:r>
          </w:p>
        </w:tc>
      </w:tr>
    </w:tbl>
    <w:p>
      <w:pPr>
        <w:spacing w:after="0" w:line="188" w:lineRule="exact"/>
        <w:rPr>
          <w:sz w:val="20"/>
          <w:szCs w:val="20"/>
          <w:color w:val="auto"/>
        </w:rPr>
      </w:pPr>
    </w:p>
    <w:p>
      <w:pPr>
        <w:jc w:val="both"/>
        <w:ind w:left="340" w:hanging="332"/>
        <w:spacing w:after="0" w:line="215" w:lineRule="auto"/>
        <w:tabs>
          <w:tab w:leader="none" w:pos="31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time-based RSUs granted to our named executive officers were granted to Messrs. Ittycheria, Gordon, Pech and Porter on February 26, 2021 under the 2016 Plan. The PSUs granted to our named executive officers were granted to Messrs. Ittycheria, Gordon and Porter on April 7, 2021 under the 2016 Plan pursuant to the Senior Leadership Equity Bonus Program (see “Outstanding Equity Awards at Fiscal Year-End” below).</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17"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Mr. Pech, our Chief Revenue Officer, the amount represents his target bonus amount under our sales variable compensation plan. Compensation for Mr. Pech was paid quarterly, based on the achievement of corporate goals and sales targets set at the beginning of the fiscal year. Actual payouts are reported in the “Summary Compensation Table” in the “Non-Equity Incentive Plan Compensation” column.</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0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Amounts represent the threshold, target and maximum number of shares that could be earned pursuant to the Senior Leadership Equity Bonus Program in lieu of fiscal year 2022 non-equity incentive compensation.</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299"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time-based RSU awards, the grant date fair value was computed in accordance with ASC 718 based on the stock price at the grant date. PSU awards are valued based on the fair value on the grant date. In valuing the PSU awards, we assumed the probable achievement of the target levels for the performance goals. Assuming that maximum performance is achieved under the program, the value of the PSU awards made to Messrs. Ittycheria, Gordon and Porter at the date of grant would have been $375,535, $283,081 and $283,081, respectively. The stock price at the grant date was based on the closing price per share of our common stock on the grant date, as reported on the Nasdaq as follows: February 26, 2021 ($385.93) and April 7, 2021 ($284.79). RSUs for Messrs. Ittycheria, Gordon, and Pech will vest in quarterly installments over four years. RSUs for Mr. Porter will vest quarterly, as follows: 20% in the second year, 40% in the third year and 40% in the fourth year. PSUs for Messers. Ittycheria, Gordon and Porter vested in two installments on October 1, 2021 and April 1, 2022, following the determinations of the bonus award achieved for the first half and second half of the fiscal year.</w:t>
      </w:r>
    </w:p>
    <w:p>
      <w:pPr>
        <w:spacing w:after="0" w:line="84"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06"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bonus target is set and paid in CHF and, for the purposes of the table, converted into U.S. dollars based on the exchange rate as of January 31, 2022 of 1.07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40"/>
          </w:cols>
          <w:pgMar w:left="320" w:top="36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1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January 31, 2022. All awards were granted under our 2008 Stock Plan (the “2008 Plan”) or the 2016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40" w:type="dxa"/>
            <w:vAlign w:val="bottom"/>
            <w:gridSpan w:val="2"/>
          </w:tcPr>
          <w:p>
            <w:pPr>
              <w:ind w:left="640"/>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1020" w:type="dxa"/>
            <w:vAlign w:val="bottom"/>
          </w:tcPr>
          <w:p>
            <w:pPr>
              <w:spacing w:after="0"/>
              <w:rPr>
                <w:sz w:val="17"/>
                <w:szCs w:val="17"/>
                <w:color w:val="auto"/>
              </w:rPr>
            </w:pPr>
          </w:p>
        </w:tc>
      </w:tr>
      <w:tr>
        <w:trPr>
          <w:trHeight w:val="35"/>
        </w:trPr>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6"/>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 Value of</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Units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Unites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Other Rights</w:t>
            </w:r>
          </w:p>
        </w:tc>
      </w:tr>
      <w:tr>
        <w:trPr>
          <w:trHeight w:val="158"/>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r>
      <w:tr>
        <w:trPr>
          <w:trHeight w:val="210"/>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7"/>
                <w:szCs w:val="17"/>
                <w:b w:val="1"/>
                <w:bCs w:val="1"/>
                <w:color w:val="auto"/>
                <w:vertAlign w:val="superscript"/>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Price ($)</w:t>
            </w:r>
            <w:r>
              <w:rPr>
                <w:rFonts w:ascii="Times New Roman" w:cs="Times New Roman" w:eastAsia="Times New Roman" w:hAnsi="Times New Roman"/>
                <w:sz w:val="17"/>
                <w:szCs w:val="17"/>
                <w:b w:val="1"/>
                <w:bCs w:val="1"/>
                <w:color w:val="auto"/>
                <w:w w:val="99"/>
                <w:vertAlign w:val="superscript"/>
              </w:rPr>
              <w:t>(1)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 (#)</w:t>
            </w:r>
            <w:r>
              <w:rPr>
                <w:rFonts w:ascii="Times New Roman" w:cs="Times New Roman" w:eastAsia="Times New Roman" w:hAnsi="Times New Roman"/>
                <w:sz w:val="17"/>
                <w:szCs w:val="17"/>
                <w:b w:val="1"/>
                <w:bCs w:val="1"/>
                <w:color w:val="auto"/>
                <w:w w:val="95"/>
                <w:vertAlign w:val="superscript"/>
              </w:rPr>
              <w:t>(2)</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(3)(4)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(4)(5)</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 ($)</w:t>
            </w:r>
            <w:r>
              <w:rPr>
                <w:rFonts w:ascii="Times New Roman" w:cs="Times New Roman" w:eastAsia="Times New Roman" w:hAnsi="Times New Roman"/>
                <w:sz w:val="17"/>
                <w:szCs w:val="17"/>
                <w:b w:val="1"/>
                <w:bCs w:val="1"/>
                <w:color w:val="auto"/>
                <w:w w:val="94"/>
                <w:vertAlign w:val="superscript"/>
              </w:rPr>
              <w:t>(3)(4)</w:t>
            </w:r>
          </w:p>
        </w:tc>
      </w:tr>
      <w:tr>
        <w:trPr>
          <w:trHeight w:val="20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9/12/2014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ISO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57,469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6,386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9/12/2024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9/12/2014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82,873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9/12/2024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9/12/2014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9/12/2024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750,000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4/20/2018</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14,000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5,671,540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3/18/2019</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19,311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7,823,079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2/27/2020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29,313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11,874,989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20,812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8,431,149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58"/>
        </w:trPr>
        <w:tc>
          <w:tcPr>
            <w:tcW w:w="1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4/7/2021</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878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356,092</w:t>
            </w:r>
          </w:p>
        </w:tc>
      </w:tr>
      <w:tr>
        <w:trPr>
          <w:trHeight w:val="208"/>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7/15/2015</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18,859</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7/15/2025</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4/20/2018</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7,500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3,038,325</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3/18/2019</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10,384</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4,206,662</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2/27/2020</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13,886</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5,625,357</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9,933</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4,023,958</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663</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256,435</w:t>
            </w:r>
          </w:p>
        </w:tc>
      </w:tr>
      <w:tr>
        <w:trPr>
          <w:trHeight w:val="35"/>
        </w:trPr>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5/31/2018</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1,250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506,388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2/5/2019</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7,170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2,904,639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2/27/2020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12,729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5,156,645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58"/>
        </w:trPr>
        <w:tc>
          <w:tcPr>
            <w:tcW w:w="1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11,826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4,790,831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 Porter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6/29/2020</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17,220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6,975,994</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8,734</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3,537,421</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663</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256,435</w:t>
            </w:r>
          </w:p>
        </w:tc>
      </w:tr>
    </w:tbl>
    <w:p>
      <w:pPr>
        <w:spacing w:after="0" w:line="139"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April 13, 2016, we amended the exercise prices of all of our outstanding option awards previously granted at an exercise price greater than $6.50 to $6.50.</w:t>
      </w:r>
    </w:p>
    <w:p>
      <w:pPr>
        <w:spacing w:after="0" w:line="81" w:lineRule="exact"/>
        <w:rPr>
          <w:rFonts w:ascii="Times New Roman" w:cs="Times New Roman" w:eastAsia="Times New Roman" w:hAnsi="Times New Roman"/>
          <w:sz w:val="23"/>
          <w:szCs w:val="23"/>
          <w:color w:val="auto"/>
          <w:vertAlign w:val="superscript"/>
        </w:rPr>
      </w:pPr>
    </w:p>
    <w:p>
      <w:pPr>
        <w:jc w:val="both"/>
        <w:ind w:left="340" w:hanging="332"/>
        <w:spacing w:after="0" w:line="244" w:lineRule="auto"/>
        <w:tabs>
          <w:tab w:leader="none" w:pos="302"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RSUs granted to Messrs. Ittycheria and Gordon on April 20, 2018 vest quarterly, measured from April 1, 2018, as follows: 10% of the RSUs vest in the first year, 20% of the RSUs vest in the second year, 30% of the RSUs vest in the third year, and 40% of the RSUs vest in the fourth year. The RSUs granted to Mr. Pech on May 31, 2018 vest in equal quarterly installments over four years measured from July 1, 2018. The RSUs granted to Mr. Pech on February 5, 2019 and to Messrs. Ittycheria and Gordon on March 18, 2019 vest in equal quarterly installments over four years measured from April 1, 2019. RSUs granted to Messrs. Ittycheria, Gordon and Pech on February 27, 2020 vest quarterly, measured from April 1, 2020. PSUs granted to Messrs. Ittycheria and Gordon on April 7, 2020 vest based on performance. RSUs granted to Mr. Porter on June 29, 2020 vest quarterly, measured from July 1, 2020 as follows: 40% of the RSUs will vest in the first year, 30% of the RSUs will vest in the second year, 15% of the RSUs will vest in the third year, and 15% of the RSUs will vest in the fourth year. RSUs granted to Messrs. Ittycheria, Gordon and Pech on February 26, 2021 vest quarterly, measured from April 1, 2021. RSUs granted to Mr. Porter on February 26, 2021 vest quarterly, measured from April 1, 2021 as follows: 20% of the RSUs will vest in the second year, 40% of the RSUs will vest in the third year, and 40% of the RSUs will vest in the fourth year. PSUs granted to Messrs. Ittycheria, Gordon and Porter on April 7, 2021 vest based on performance.</w:t>
      </w:r>
    </w:p>
    <w:p>
      <w:pPr>
        <w:spacing w:after="0" w:line="6"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Market value is calculated based on the closing price of our common stock on January 31, 2022, as reported on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40" w:hanging="332"/>
        <w:spacing w:after="0"/>
        <w:tabs>
          <w:tab w:leader="none" w:pos="329"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unvested shares of common stock underlying these awards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w:t>
      </w:r>
    </w:p>
    <w:p>
      <w:pPr>
        <w:spacing w:after="0" w:line="195"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36"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PSUs were granted to Messrs. Ittycheria, Gordon and Porter pursuant to the Senior Leadership Equity Bonus Program in lieu of fiscal year 2022 non-equity incentive compensation. The PSUs vested in two installments on October 1, 2021 and April 1, 2022, following the determinations of the bonus award achieved for the first half and second half of the fiscal year. Amounts reported represent maximum achievement (150%) of performance goals for the second half of the fiscal year based on actual fiscal year 2022 corporate performance achievement exceeding the target level.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exercise of all stock options and vesting of all stock awards for the named executive officers during the fiscal year ended January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47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6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36"/>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Value Realized on Exercise</w:t>
            </w:r>
          </w:p>
        </w:tc>
        <w:tc>
          <w:tcPr>
            <w:tcW w:w="16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Value Realized on Vesting ($)</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Exercise (#)</w:t>
            </w:r>
          </w:p>
        </w:tc>
        <w:tc>
          <w:tcPr>
            <w:tcW w:w="22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20"/>
                <w:szCs w:val="20"/>
                <w:b w:val="1"/>
                <w:bCs w:val="1"/>
                <w:color w:val="auto"/>
                <w:w w:val="99"/>
                <w:vertAlign w:val="superscript"/>
              </w:rPr>
              <w:t>(1)</w:t>
            </w:r>
          </w:p>
        </w:tc>
        <w:tc>
          <w:tcPr>
            <w:tcW w:w="1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Vesting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661,308</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233,598,958</w:t>
            </w:r>
          </w:p>
        </w:tc>
        <w:tc>
          <w:tcPr>
            <w:tcW w:w="16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88,105</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36,376,662</w:t>
            </w:r>
          </w:p>
        </w:tc>
        <w:tc>
          <w:tcPr>
            <w:tcW w:w="0" w:type="dxa"/>
            <w:vAlign w:val="bottom"/>
          </w:tcPr>
          <w:p>
            <w:pPr>
              <w:spacing w:after="0"/>
              <w:rPr>
                <w:sz w:val="1"/>
                <w:szCs w:val="1"/>
                <w:color w:val="auto"/>
              </w:rPr>
            </w:pPr>
          </w:p>
        </w:tc>
      </w:tr>
      <w:tr>
        <w:trPr>
          <w:trHeight w:val="229"/>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38,813,711</w:t>
            </w:r>
          </w:p>
        </w:tc>
        <w:tc>
          <w:tcPr>
            <w:tcW w:w="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46,650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19,198,971</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34,375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11,489,582</w:t>
            </w:r>
          </w:p>
        </w:tc>
        <w:tc>
          <w:tcPr>
            <w:tcW w:w="16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16,620</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6,898,943</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13,726</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5,435,891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hanging="332"/>
        <w:spacing w:after="0" w:line="205" w:lineRule="auto"/>
        <w:tabs>
          <w:tab w:leader="none" w:pos="30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exercise is calculated as the difference between the market value of our common stock underlying the options on the date of exercise and the applicable exercise price of those options. The value does not reflect actual proceeds received.</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3"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vesting is calculated by multiplying the number of shares of common stock by the market value of our common stock on the applicable vesting date and does not reflect actual proceeds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2022, including in connection with a change in control as of January 31, 2022. There are no potential payments or benefits in the case of termination for cause, voluntary termination, disability or death.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Accelerated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Continuation of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of Equity</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Insurance</w:t>
            </w: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72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Coverage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20" w:type="dxa"/>
            <w:vAlign w:val="bottom"/>
            <w:tcBorders>
              <w:bottom w:val="single" w:sz="8" w:color="auto"/>
            </w:tcBorders>
            <w:vMerge w:val="continue"/>
          </w:tcPr>
          <w:p>
            <w:pPr>
              <w:spacing w:after="0"/>
              <w:rPr>
                <w:sz w:val="18"/>
                <w:szCs w:val="18"/>
                <w:color w:val="auto"/>
              </w:rPr>
            </w:pPr>
          </w:p>
        </w:tc>
        <w:tc>
          <w:tcPr>
            <w:tcW w:w="37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Dev Ittycheria</w:t>
            </w:r>
          </w:p>
        </w:tc>
        <w:tc>
          <w:tcPr>
            <w:tcW w:w="372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shd w:val="clear" w:color="auto" w:fill="CCEEFF"/>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w w:val="99"/>
              </w:rPr>
              <w:t>400,000</w:t>
            </w:r>
          </w:p>
        </w:tc>
        <w:tc>
          <w:tcPr>
            <w:tcW w:w="9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34,152</w:t>
            </w:r>
          </w:p>
        </w:tc>
        <w:tc>
          <w:tcPr>
            <w:tcW w:w="11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434,152</w:t>
            </w: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Reason</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CEEFF"/>
          </w:tcPr>
          <w:p>
            <w:pPr>
              <w:spacing w:after="0"/>
              <w:rPr>
                <w:sz w:val="14"/>
                <w:szCs w:val="14"/>
                <w:color w:val="auto"/>
              </w:rPr>
            </w:pPr>
          </w:p>
        </w:tc>
        <w:tc>
          <w:tcPr>
            <w:tcW w:w="372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shd w:val="clear" w:color="auto" w:fill="CCEEFF"/>
          </w:tcPr>
          <w:p>
            <w:pPr>
              <w:jc w:val="center"/>
              <w:ind w:left="19"/>
              <w:spacing w:after="0" w:line="168" w:lineRule="exact"/>
              <w:rPr>
                <w:sz w:val="20"/>
                <w:szCs w:val="20"/>
                <w:color w:val="auto"/>
              </w:rPr>
            </w:pPr>
            <w:r>
              <w:rPr>
                <w:rFonts w:ascii="Times New Roman" w:cs="Times New Roman" w:eastAsia="Times New Roman" w:hAnsi="Times New Roman"/>
                <w:sz w:val="16"/>
                <w:szCs w:val="16"/>
                <w:color w:val="auto"/>
                <w:w w:val="99"/>
              </w:rPr>
              <w:t>400,000</w:t>
            </w:r>
          </w:p>
        </w:tc>
        <w:tc>
          <w:tcPr>
            <w:tcW w:w="9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420,000</w:t>
            </w:r>
          </w:p>
        </w:tc>
        <w:tc>
          <w:tcPr>
            <w:tcW w:w="14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39,069,250</w:t>
            </w:r>
          </w:p>
        </w:tc>
        <w:tc>
          <w:tcPr>
            <w:tcW w:w="13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34,152</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39,923,402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Reason in Connection with a Change in Control</w:t>
            </w:r>
            <w:r>
              <w:rPr>
                <w:rFonts w:ascii="Times New Roman" w:cs="Times New Roman" w:eastAsia="Times New Roman" w:hAnsi="Times New Roman"/>
                <w:sz w:val="21"/>
                <w:szCs w:val="21"/>
                <w:color w:val="auto"/>
                <w:vertAlign w:val="superscript"/>
              </w:rPr>
              <w:t>(2)</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Michael Gordon</w:t>
            </w:r>
          </w:p>
        </w:tc>
        <w:tc>
          <w:tcPr>
            <w:tcW w:w="37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color w:val="auto"/>
                <w:w w:val="99"/>
              </w:rPr>
              <w:t>162,500</w:t>
            </w: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162,500</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Reason</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37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tcPr>
          <w:p>
            <w:pPr>
              <w:jc w:val="center"/>
              <w:ind w:left="19"/>
              <w:spacing w:after="0" w:line="168" w:lineRule="exact"/>
              <w:rPr>
                <w:sz w:val="20"/>
                <w:szCs w:val="20"/>
                <w:color w:val="auto"/>
              </w:rPr>
            </w:pPr>
            <w:r>
              <w:rPr>
                <w:rFonts w:ascii="Times New Roman" w:cs="Times New Roman" w:eastAsia="Times New Roman" w:hAnsi="Times New Roman"/>
                <w:sz w:val="16"/>
                <w:szCs w:val="16"/>
                <w:color w:val="auto"/>
                <w:w w:val="99"/>
              </w:rPr>
              <w:t>162,500</w:t>
            </w:r>
          </w:p>
        </w:tc>
        <w:tc>
          <w:tcPr>
            <w:tcW w:w="9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316,875</w:t>
            </w:r>
          </w:p>
        </w:tc>
        <w:tc>
          <w:tcPr>
            <w:tcW w:w="14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17,028,799</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17,508,174</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72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Reason in Connection with a Change in Control</w:t>
            </w:r>
            <w:r>
              <w:rPr>
                <w:rFonts w:ascii="Times New Roman" w:cs="Times New Roman" w:eastAsia="Times New Roman" w:hAnsi="Times New Roman"/>
                <w:sz w:val="21"/>
                <w:szCs w:val="21"/>
                <w:color w:val="auto"/>
                <w:vertAlign w:val="superscript"/>
              </w:rPr>
              <w:t>(2)</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4"/>
                <w:szCs w:val="14"/>
                <w:color w:val="auto"/>
              </w:rPr>
              <w:t>Cedric Pech</w:t>
            </w:r>
            <w:r>
              <w:rPr>
                <w:rFonts w:ascii="Times New Roman" w:cs="Times New Roman" w:eastAsia="Times New Roman" w:hAnsi="Times New Roman"/>
                <w:sz w:val="18"/>
                <w:szCs w:val="18"/>
                <w:color w:val="auto"/>
                <w:vertAlign w:val="superscript"/>
              </w:rPr>
              <w:t>(3)</w:t>
            </w:r>
          </w:p>
        </w:tc>
        <w:tc>
          <w:tcPr>
            <w:tcW w:w="372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shd w:val="clear" w:color="auto" w:fill="CCEEFF"/>
          </w:tcPr>
          <w:p>
            <w:pPr>
              <w:jc w:val="center"/>
              <w:ind w:left="19"/>
              <w:spacing w:after="0" w:line="162" w:lineRule="exact"/>
              <w:rPr>
                <w:sz w:val="20"/>
                <w:szCs w:val="20"/>
                <w:color w:val="auto"/>
              </w:rPr>
            </w:pPr>
            <w:r>
              <w:rPr>
                <w:rFonts w:ascii="Times New Roman" w:cs="Times New Roman" w:eastAsia="Times New Roman" w:hAnsi="Times New Roman"/>
                <w:sz w:val="16"/>
                <w:szCs w:val="16"/>
                <w:color w:val="auto"/>
                <w:w w:val="99"/>
              </w:rPr>
              <w:t>134,838</w:t>
            </w:r>
          </w:p>
        </w:tc>
        <w:tc>
          <w:tcPr>
            <w:tcW w:w="9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2,881</w:t>
            </w:r>
          </w:p>
        </w:tc>
        <w:tc>
          <w:tcPr>
            <w:tcW w:w="11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137,719</w:t>
            </w: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Reason</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CEEFF"/>
          </w:tcPr>
          <w:p>
            <w:pPr>
              <w:spacing w:after="0"/>
              <w:rPr>
                <w:sz w:val="14"/>
                <w:szCs w:val="14"/>
                <w:color w:val="auto"/>
              </w:rPr>
            </w:pPr>
          </w:p>
        </w:tc>
        <w:tc>
          <w:tcPr>
            <w:tcW w:w="372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shd w:val="clear" w:color="auto" w:fill="CCEEFF"/>
          </w:tcPr>
          <w:p>
            <w:pPr>
              <w:jc w:val="center"/>
              <w:ind w:left="19"/>
              <w:spacing w:after="0" w:line="168" w:lineRule="exact"/>
              <w:rPr>
                <w:sz w:val="20"/>
                <w:szCs w:val="20"/>
                <w:color w:val="auto"/>
              </w:rPr>
            </w:pPr>
            <w:r>
              <w:rPr>
                <w:rFonts w:ascii="Times New Roman" w:cs="Times New Roman" w:eastAsia="Times New Roman" w:hAnsi="Times New Roman"/>
                <w:sz w:val="16"/>
                <w:szCs w:val="16"/>
                <w:color w:val="auto"/>
                <w:w w:val="99"/>
              </w:rPr>
              <w:t>134,838</w:t>
            </w:r>
          </w:p>
        </w:tc>
        <w:tc>
          <w:tcPr>
            <w:tcW w:w="9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1,025,960</w:t>
            </w:r>
          </w:p>
        </w:tc>
        <w:tc>
          <w:tcPr>
            <w:tcW w:w="14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13,358,502</w:t>
            </w:r>
          </w:p>
        </w:tc>
        <w:tc>
          <w:tcPr>
            <w:tcW w:w="13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2,881</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14,522,181</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Reason in Connection with a Change in Control</w:t>
            </w:r>
            <w:r>
              <w:rPr>
                <w:rFonts w:ascii="Times New Roman" w:cs="Times New Roman" w:eastAsia="Times New Roman" w:hAnsi="Times New Roman"/>
                <w:sz w:val="21"/>
                <w:szCs w:val="21"/>
                <w:color w:val="auto"/>
                <w:vertAlign w:val="superscript"/>
              </w:rPr>
              <w:t>(2)</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Mark Porter</w:t>
            </w:r>
          </w:p>
        </w:tc>
        <w:tc>
          <w:tcPr>
            <w:tcW w:w="37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color w:val="auto"/>
                <w:w w:val="99"/>
              </w:rPr>
              <w:t>162,500</w:t>
            </w: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17,076</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179,576</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Reason</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37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 Good</w:t>
            </w:r>
          </w:p>
        </w:tc>
        <w:tc>
          <w:tcPr>
            <w:tcW w:w="1220" w:type="dxa"/>
            <w:vAlign w:val="bottom"/>
          </w:tcPr>
          <w:p>
            <w:pPr>
              <w:jc w:val="center"/>
              <w:ind w:left="19"/>
              <w:spacing w:after="0" w:line="168" w:lineRule="exact"/>
              <w:rPr>
                <w:sz w:val="20"/>
                <w:szCs w:val="20"/>
                <w:color w:val="auto"/>
              </w:rPr>
            </w:pPr>
            <w:r>
              <w:rPr>
                <w:rFonts w:ascii="Times New Roman" w:cs="Times New Roman" w:eastAsia="Times New Roman" w:hAnsi="Times New Roman"/>
                <w:sz w:val="16"/>
                <w:szCs w:val="16"/>
                <w:color w:val="auto"/>
                <w:w w:val="99"/>
              </w:rPr>
              <w:t>162,500</w:t>
            </w:r>
          </w:p>
        </w:tc>
        <w:tc>
          <w:tcPr>
            <w:tcW w:w="9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316,875</w:t>
            </w:r>
          </w:p>
        </w:tc>
        <w:tc>
          <w:tcPr>
            <w:tcW w:w="14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10,647,911</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17,076</w:t>
            </w: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11,144,362</w:t>
            </w:r>
          </w:p>
        </w:tc>
        <w:tc>
          <w:tcPr>
            <w:tcW w:w="0" w:type="dxa"/>
            <w:vAlign w:val="bottom"/>
          </w:tcPr>
          <w:p>
            <w:pPr>
              <w:spacing w:after="0"/>
              <w:rPr>
                <w:sz w:val="1"/>
                <w:szCs w:val="1"/>
                <w:color w:val="auto"/>
              </w:rPr>
            </w:pPr>
          </w:p>
        </w:tc>
      </w:tr>
      <w:tr>
        <w:trPr>
          <w:trHeight w:val="281"/>
        </w:trPr>
        <w:tc>
          <w:tcPr>
            <w:tcW w:w="152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Reason in Connection with a Change in Control</w:t>
            </w:r>
            <w:r>
              <w:rPr>
                <w:rFonts w:ascii="Times New Roman" w:cs="Times New Roman" w:eastAsia="Times New Roman" w:hAnsi="Times New Roman"/>
                <w:sz w:val="21"/>
                <w:szCs w:val="21"/>
                <w:color w:val="auto"/>
                <w:vertAlign w:val="superscript"/>
              </w:rPr>
              <w:t>(2)</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340" w:hanging="332"/>
        <w:spacing w:after="0" w:line="215" w:lineRule="auto"/>
        <w:tabs>
          <w:tab w:leader="none" w:pos="29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of accelerated vesting of unvested RSUs and PSUs is based upon the closing price of our common stock on January 31, 2022, as reported on the Nasdaq, multiplied by the number of units. The value of accelerated vesting of unvested stock options is based on the difference between the closing stock price on January 31, 2022, as reported on the Nasdaq, and the exercise price per option multiplied by the number of unvested options.</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9"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change in control (as defined in MongoDB Inc.'s Amended and Restated 2016 Equity Incentive Plan)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months prior to or 12 months following, a change of control of MongoDB.</w:t>
      </w:r>
    </w:p>
    <w:p>
      <w:pPr>
        <w:spacing w:after="0" w:line="96" w:lineRule="exact"/>
        <w:rPr>
          <w:rFonts w:ascii="Times New Roman" w:cs="Times New Roman" w:eastAsia="Times New Roman" w:hAnsi="Times New Roman"/>
          <w:sz w:val="23"/>
          <w:szCs w:val="23"/>
          <w:color w:val="auto"/>
          <w:vertAlign w:val="superscript"/>
        </w:rPr>
      </w:pPr>
    </w:p>
    <w:p>
      <w:pPr>
        <w:ind w:left="340" w:right="20" w:hanging="332"/>
        <w:spacing w:after="0" w:line="197" w:lineRule="auto"/>
        <w:tabs>
          <w:tab w:leader="none" w:pos="299"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potential non-equity payments and benefits are set in CHF and, for the purposes of the table, converted into U.S. dollars based on the exchange rate as of January 31, 2022 of 1.07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titled “Compensation and Discussion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D'Souza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Archana Agrawal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Killalea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McMahon</w:t>
      </w:r>
    </w:p>
    <w:p>
      <w:pPr>
        <w:spacing w:after="0" w:line="232"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other than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workers who were included as employees on our payroll records as of a determination date of December 1, 2021, based on base salary, bonuses, commissions, allowances and equity awards earned during fiscal year 2022. Conforming adjustments were made for employees who were hired during that period and did not receive pay for the full period, and international employees’ pay was converted to U.S. dollar equivalents using exchange rates as of the determination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fiscal year 2022 annual total compensation as determined under Item 402 of Regulation S-K for our Chief Executive Officer was $10,566,757, as reported in the Summary Compensation Table of this proxy statement. The fiscal year 2022 annual total compensation as determined under Item 402 of Regulation S-K for our median employee was $249,910. The ratio of our Chief Executive Officer’s annual total compensation to our median employee’s annual total compensation for fiscal year 2022 is 42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January 31, 2022. Information is included for equity compensation plans approved by our stockholders. We do not have any equity compensation plans not approved by our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 Securities</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8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460" w:type="dxa"/>
            <w:vAlign w:val="bottom"/>
          </w:tcPr>
          <w:p>
            <w:pPr>
              <w:spacing w:after="0"/>
              <w:rPr>
                <w:sz w:val="15"/>
                <w:szCs w:val="15"/>
                <w:color w:val="auto"/>
              </w:rPr>
            </w:pP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2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80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w:t>
            </w:r>
          </w:p>
        </w:tc>
        <w:tc>
          <w:tcPr>
            <w:tcW w:w="0" w:type="dxa"/>
            <w:vAlign w:val="bottom"/>
          </w:tcPr>
          <w:p>
            <w:pPr>
              <w:spacing w:after="0"/>
              <w:rPr>
                <w:sz w:val="1"/>
                <w:szCs w:val="1"/>
                <w:color w:val="auto"/>
              </w:rPr>
            </w:pPr>
          </w:p>
        </w:tc>
      </w:tr>
      <w:tr>
        <w:trPr>
          <w:trHeight w:val="18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0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ind w:left="290"/>
              <w:spacing w:after="0" w:line="230" w:lineRule="exact"/>
              <w:rPr>
                <w:sz w:val="20"/>
                <w:szCs w:val="20"/>
                <w:color w:val="auto"/>
              </w:rPr>
            </w:pPr>
            <w:r>
              <w:rPr>
                <w:rFonts w:ascii="Times New Roman" w:cs="Times New Roman" w:eastAsia="Times New Roman" w:hAnsi="Times New Roman"/>
                <w:sz w:val="18"/>
                <w:szCs w:val="18"/>
                <w:b w:val="1"/>
                <w:bCs w:val="1"/>
                <w:color w:val="auto"/>
                <w:w w:val="96"/>
              </w:rPr>
              <w:t>Warrants and Rights</w:t>
            </w:r>
            <w:r>
              <w:rPr>
                <w:rFonts w:ascii="Times New Roman" w:cs="Times New Roman" w:eastAsia="Times New Roman" w:hAnsi="Times New Roman"/>
                <w:sz w:val="23"/>
                <w:szCs w:val="23"/>
                <w:b w:val="1"/>
                <w:bCs w:val="1"/>
                <w:color w:val="auto"/>
                <w:w w:val="96"/>
                <w:vertAlign w:val="superscript"/>
              </w:rPr>
              <w:t>(1)</w:t>
            </w:r>
          </w:p>
        </w:tc>
        <w:tc>
          <w:tcPr>
            <w:tcW w:w="2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(2)</w:t>
            </w:r>
          </w:p>
        </w:tc>
        <w:tc>
          <w:tcPr>
            <w:tcW w:w="24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Reflected in Column (a))</w:t>
            </w:r>
            <w:r>
              <w:rPr>
                <w:rFonts w:ascii="Times New Roman" w:cs="Times New Roman" w:eastAsia="Times New Roman" w:hAnsi="Times New Roman"/>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2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5,818,070</w:t>
            </w:r>
          </w:p>
        </w:tc>
        <w:tc>
          <w:tcPr>
            <w:tcW w:w="24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$7.46</w:t>
            </w:r>
          </w:p>
        </w:tc>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12,986,165</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2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197" w:lineRule="auto"/>
        <w:tabs>
          <w:tab w:leader="none" w:pos="34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tabs>
          <w:tab w:leader="none" w:pos="325"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weighted average exercise price is calculated based solely on outstanding stock options and does not take into account stock underlying restricted stock units, which have no exercise price.</w:t>
      </w:r>
    </w:p>
    <w:p>
      <w:pPr>
        <w:spacing w:after="0" w:line="194"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03"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2016 Plan and ESPP. Stock options or other stock awards granted under the 2008 Plan that are forfeited, terminated, expired or repurchased become available for issuance under the 2016 Plan. The 2016 Plan provides that the total number of shares reserved of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 (b) 995,000 shares; provided that the board of directors or a committee thereof may determine that such increase will be less than the amount set forth above. Accordingly, on February 1, 2022, the number of shares of our common stock available for issuance under our 2016 Plan and our ESPP increased by 3,372,218 shares and 674,444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9"/>
          <w:szCs w:val="29"/>
          <w:b w:val="1"/>
          <w:bCs w:val="1"/>
          <w:color w:val="auto"/>
        </w:rPr>
        <w:t>PROPOSAL 3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selected PricewaterhouseCoopers LLP as our independent registered public accounting firm for the fiscal year ending January 31, 2022 and has further directed that management submit this selection for ratification by the stockholders at the meeting. PricewaterhouseCoopers LLP has served as our independent registered public accounting firm since 2013. Representatives of PricewaterhouseCoopers LLP are expected to be present during the meeting, where they will be available to respond to appropriate questions and, if they desire, to make a 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affirmative vote from holders of a majority in voting power of the shares present at the meeting (by virtual attendance) or represented by proxy and entitled to vote on the proposal will be required to ratify the selection of PricewaterhouseCoopers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aggregate fees for services provided by PricewaterhouseCoopers LLP for the fiscal years ended January 31, 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Fiscal Years Ended January 31,</w:t>
            </w:r>
          </w:p>
        </w:tc>
      </w:tr>
      <w:tr>
        <w:trPr>
          <w:trHeight w:val="223"/>
        </w:trPr>
        <w:tc>
          <w:tcPr>
            <w:tcW w:w="6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2,737,000</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2,167,000</w:t>
            </w: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580" w:type="dxa"/>
            <w:vAlign w:val="bottom"/>
          </w:tcPr>
          <w:p>
            <w:pPr>
              <w:spacing w:after="0"/>
              <w:rPr>
                <w:sz w:val="19"/>
                <w:szCs w:val="19"/>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2,741,230</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2,218,950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line="197" w:lineRule="auto"/>
        <w:tabs>
          <w:tab w:leader="none" w:pos="355"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spacing w:after="0" w:line="96"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352"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Audit-related fees primarily consist of additional audit procedures associated with the adoption Accounting Standards Updated (“ASU”) No. 2020-06, Debt with Conversion and other Options for fiscal year 2021.</w:t>
      </w:r>
    </w:p>
    <w:p>
      <w:pPr>
        <w:spacing w:after="0" w:line="19"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other fees billed for the fiscal years ended January 31, 2022 and 2021 were related to fees for access to online accounting and tax research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services provided by PricewaterhouseCoopers LLP for our fiscal year ended January 31, 2022,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ratification of the selection of PricewaterhouseCoopers LLP as our independent registered public accounting firm for the fiscal year ending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January 31, 2022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2022, for filing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Hope Cochran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 Botha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 Hazard, Jr.</w:t>
      </w:r>
    </w:p>
    <w:p>
      <w:pPr>
        <w:spacing w:after="0" w:line="2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120"/>
        <w:spacing w:after="0" w:line="287" w:lineRule="auto"/>
        <w:rPr>
          <w:sz w:val="20"/>
          <w:szCs w:val="20"/>
          <w:color w:val="auto"/>
        </w:rPr>
      </w:pPr>
      <w:r>
        <w:rPr>
          <w:rFonts w:ascii="Times New Roman" w:cs="Times New Roman" w:eastAsia="Times New Roman" w:hAnsi="Times New Roman"/>
          <w:sz w:val="29"/>
          <w:szCs w:val="2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April 29, 2022, certain information with respect to the beneficial ownership of our common stock: (a) by each person known by us to be the beneficial owner of more than five percent of the outstanding shares of our common stock, (b) by each of our directors and director nominees, (c) by each of our named executive officers and (d) by all of our current executive officers, directors and director nominees as a group.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68,061,063 shares of our common stock outstanding as of April 29, 2022. In computing the number of shares of common stock beneficially owned by a person and the percentage ownership of such person, we deemed to be outstanding any shares of our common stock subject to options held by such person that are currently exercisable or exercisable within 60 days of April 29, 2022 and any shares of common stock issuable upon the vesting of RSUs within 60 days after April 29, 2022. However, we did not deem such shares of our common stock outstanding for the purpose of computing the percentage ownership of any other person.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MongoDB, Inc., 1633 Broadway, 38th Floor, New York, New York 10019.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Beneficial Owners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96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 of Beneficial Owner - 5% or Greater Stockholders:</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3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30"/>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 Rowe Price</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7,161,197</w:t>
            </w:r>
          </w:p>
        </w:tc>
        <w:tc>
          <w:tcPr>
            <w:tcW w:w="330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9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Capital World Investors</w:t>
            </w:r>
            <w:r>
              <w:rPr>
                <w:rFonts w:ascii="Times New Roman" w:cs="Times New Roman" w:eastAsia="Times New Roman" w:hAnsi="Times New Roman"/>
                <w:sz w:val="23"/>
                <w:szCs w:val="23"/>
                <w:color w:val="auto"/>
                <w:vertAlign w:val="superscript"/>
              </w:rPr>
              <w:t>(2)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6,533,592</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9.6</w:t>
            </w:r>
          </w:p>
        </w:tc>
      </w:tr>
      <w:tr>
        <w:trPr>
          <w:trHeight w:val="230"/>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(3)</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5,849,023</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8.6</w:t>
            </w:r>
          </w:p>
        </w:tc>
      </w:tr>
      <w:tr>
        <w:trPr>
          <w:trHeight w:val="230"/>
        </w:trPr>
        <w:tc>
          <w:tcPr>
            <w:tcW w:w="59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(4)</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5,739,738</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8.4</w:t>
            </w:r>
          </w:p>
        </w:tc>
      </w:tr>
      <w:tr>
        <w:trPr>
          <w:trHeight w:val="229"/>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(5)</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5,146,924</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Named Executive Officers, Directors and Director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3"/>
        </w:trPr>
        <w:tc>
          <w:tcPr>
            <w:tcW w:w="5780" w:type="dxa"/>
            <w:vAlign w:val="bottom"/>
            <w:tcBorders>
              <w:top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(6)</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1,194</w:t>
            </w:r>
          </w:p>
        </w:tc>
        <w:tc>
          <w:tcPr>
            <w:tcW w:w="4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(7)</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243,572</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(8)</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52,913</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(9)</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2,629</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(10)</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279,322</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(11)</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68,694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(12)</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1,076,134</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1.6</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(13)</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98,722</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(14)</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50,396</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(15)</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2,027,836</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3.0</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Cedric Pech</w:t>
            </w:r>
            <w:r>
              <w:rPr>
                <w:rFonts w:ascii="Times New Roman" w:cs="Times New Roman" w:eastAsia="Times New Roman" w:hAnsi="Times New Roman"/>
                <w:sz w:val="23"/>
                <w:szCs w:val="23"/>
                <w:color w:val="auto"/>
                <w:vertAlign w:val="superscript"/>
              </w:rPr>
              <w:t>(16)</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37,768</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Mark Porter</w:t>
            </w:r>
            <w:r>
              <w:rPr>
                <w:rFonts w:ascii="Times New Roman" w:cs="Times New Roman" w:eastAsia="Times New Roman" w:hAnsi="Times New Roman"/>
                <w:sz w:val="23"/>
                <w:szCs w:val="23"/>
                <w:color w:val="auto"/>
                <w:vertAlign w:val="superscript"/>
              </w:rPr>
              <w:t>(17)</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2,117</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All executive officers and directors as a group (12 persons)</w:t>
            </w:r>
            <w:r>
              <w:rPr>
                <w:rFonts w:ascii="Times New Roman" w:cs="Times New Roman" w:eastAsia="Times New Roman" w:hAnsi="Times New Roman"/>
                <w:sz w:val="23"/>
                <w:szCs w:val="23"/>
                <w:color w:val="auto"/>
                <w:vertAlign w:val="superscript"/>
              </w:rPr>
              <w:t>(18)</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3,941,297</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5.7</w:t>
            </w:r>
          </w:p>
        </w:tc>
      </w:tr>
    </w:tbl>
    <w:p>
      <w:pPr>
        <w:spacing w:after="0" w:line="158"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4"/>
          <w:szCs w:val="14"/>
          <w:color w:val="auto"/>
        </w:rPr>
        <w:t>Represents beneficial ownership of less than 1%.</w:t>
      </w:r>
    </w:p>
    <w:p>
      <w:pPr>
        <w:spacing w:after="0" w:line="95" w:lineRule="exact"/>
        <w:rPr>
          <w:sz w:val="20"/>
          <w:szCs w:val="20"/>
          <w:color w:val="auto"/>
        </w:rPr>
      </w:pPr>
    </w:p>
    <w:p>
      <w:pPr>
        <w:jc w:val="both"/>
        <w:ind w:left="340" w:hanging="332"/>
        <w:spacing w:after="0" w:line="215" w:lineRule="auto"/>
        <w:tabs>
          <w:tab w:leader="none" w:pos="332"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T. Rowe Price Associates, Inc. (“T. Rowe Price”) in a Schedule 13G/A filed on February 14, 2022, and reporting ownership as of December 31, 2021. The principal business address of T. Rowe Price is 100 E. Pratt Street, Baltimore, MD 21202. T. Rowe Price has sole voting power over 3,152,175 shares of common stock, shared voting power over zero shares of common stock, sole dispositive power over 7,161,197 shares of common stock and shared dispositive power over zero shares of common stock.</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06"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Capital World Investors (“Capital World”) in a Schedule 13G/A filed on February 11, 2022, and reporting ownership as of December 31, 2021. The principal business address of Capital World is 333 South Hope Street, 55th Fl, Los Angeles, CA 90071. Capital World has sole voting power over 6,533,592 shares of common stock, shared voting power over zero shares of common stock, sole dispositive power over 6,533,592 shares of common stock and shared dispositive power over zero shares of common stock.</w:t>
      </w:r>
    </w:p>
    <w:p>
      <w:pPr>
        <w:spacing w:after="0" w:line="83"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24"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The Vanguard Group - 23 - 1945930 (“Vanguard”) in a Schedule 13G/A filed on February 10, 2022, and reporting ownership as of December 31, 2021. The principal business address of Vanguard is 100 Vanguard Blvd., Malvern, PA 19355. Vanguard has sole voting power over zero shares of common stock, shared voting power over 59,814 shares of common stock, sole dispositive power over 5,711,540 shares of common stock and shared dispositive power over 137,483 shares of common stock.</w:t>
      </w:r>
    </w:p>
    <w:p>
      <w:pPr>
        <w:spacing w:after="0" w:line="96" w:lineRule="exact"/>
        <w:rPr>
          <w:rFonts w:ascii="Times New Roman" w:cs="Times New Roman" w:eastAsia="Times New Roman" w:hAnsi="Times New Roman"/>
          <w:sz w:val="23"/>
          <w:szCs w:val="23"/>
          <w:color w:val="auto"/>
          <w:vertAlign w:val="superscript"/>
        </w:rPr>
      </w:pPr>
    </w:p>
    <w:p>
      <w:pPr>
        <w:ind w:left="340" w:right="240" w:hanging="332"/>
        <w:spacing w:after="0" w:line="233" w:lineRule="auto"/>
        <w:tabs>
          <w:tab w:leader="none" w:pos="269"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upon the information provided by BlackRock, Inc. (“BlackRock”) in a Schedule 13G/A filed on February 8, 2022, and reporting ownership as of December 31, 2021. The principal business address of BlackRock is 55 East 52nd Street, New York, NY 10055. BlackRock has sole voting power over 5,338,972 shares of common stock, shared voting power over zero shares of common stock, sole dispositive power over 5,739,738 shares of common stock and shared dispositive power over zero shares of common stock.</w:t>
      </w:r>
    </w:p>
    <w:p>
      <w:pPr>
        <w:spacing w:after="0" w:line="96" w:lineRule="exact"/>
        <w:rPr>
          <w:rFonts w:ascii="Times New Roman" w:cs="Times New Roman" w:eastAsia="Times New Roman" w:hAnsi="Times New Roman"/>
          <w:sz w:val="19"/>
          <w:szCs w:val="19"/>
          <w:color w:val="auto"/>
          <w:vertAlign w:val="superscript"/>
        </w:rPr>
      </w:pPr>
    </w:p>
    <w:p>
      <w:pPr>
        <w:ind w:left="340" w:right="240" w:hanging="332"/>
        <w:spacing w:after="0" w:line="220" w:lineRule="auto"/>
        <w:tabs>
          <w:tab w:leader="none" w:pos="296"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FMR LLC (“FMR”) in a Schedule 13G/A filed on February 9, 2022, and reporting ownership as of December 31, 2021. The principal business address of FMR is 245 Summer Street, Boston, MA 02210. FMR has sole voting power over 1,153,305 shares of common stock, shared voting power over zero shares of common stock, sole dispositive power over 5,146,924 shares of common stock and shared dispositive power over zero shares of common stock.</w:t>
      </w:r>
    </w:p>
    <w:p>
      <w:pPr>
        <w:spacing w:after="0" w:line="2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565 shares of common stock owned directly by Ms. Agrawal and (b) 629 shares of common stock issuable upon the vesting of RSUs within 60 days of April 29, 2022.</w:t>
      </w:r>
    </w:p>
    <w:p>
      <w:pPr>
        <w:spacing w:after="0" w:line="81"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6"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129 shares of common stock owned directly by Mr. Botha, (b) 242,814 shares of common stock owned by estate planning vehicles for the benefit of Mr. Botha and (c) 629 shares of common stock issuable upon the vesting of RSUs within 60 days of April 29, 2022.</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82"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4,284 shares of common stock owned directly by Ms. Cochran, (b) 48,000 shares of common stock issuable upon the exercise of options exercisable within 60 days of April 29, 2022 and (c) 629 shares of common stock issuable upon the vesting of RSUs within 60 days of April 29, 2022.</w:t>
      </w:r>
    </w:p>
    <w:p>
      <w:pPr>
        <w:spacing w:after="0" w:line="19"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2,000 shares of common stock owned directly by Mr. D’Souza and (b) 629 shares of common stock issuable upon the vesting of RSUs within 60 days of April 29, 2022.</w:t>
      </w:r>
    </w:p>
    <w:p>
      <w:pPr>
        <w:spacing w:after="0" w:line="81"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27"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56,463 shares of common stock owned directly by Mr. Gordon, (b) 4,000 shares of common stock held by immediate family members of Mr. Gordon and (c) 218,859 shares of common stock issuable upon the exercise of options exercisable within 60 days of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05" w:lineRule="auto"/>
        <w:tabs>
          <w:tab w:leader="none" w:pos="323"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51,720 shares of common stock owned directly by Mr. Hazard, (b) 16,345 shares of common stock owned by The Narragansett Bay Children’s Trust, of which Mr. Hazard is a Trustee and (c) 629 shares of common stock issuable upon the vesting of RSUs within 60 days of April 29, 2022.</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341"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124,484 shares of stock owned directly by Mr. Ittycheria and (b) 951,650 shares of common stock issuable upon the exercise of options exercisable within 60 days of April 29, 2022.</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27"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28,093 shares of common stock owned directly by Mr. Killalea, (b) 50,000 shares of common stock issuable upon the exercise of options exercisable within 60 days of April 29, 2022, (c) 5,000 shares of common stock owned by the UAISLE Trust U/A DTD 11/15/2021 for the benefit of his children, (d) 5,000 shares of common stock owned by the BREOGA Trust U/A DTD 11/15/2021 for the benefit of his children, (e) 5,000 shares of common stock owned by the CEANSA Trust U/A DTD 11/15/2021 for the benefit of his children, (f) 5,000 shares of common stock owned by the AOGALL Trust U/A DTD 11/15/2021 for the benefit of his children and (g) 629 shares of common stock issuable upon the vesting of RSUs within 60 days of April 29, 2022.</w:t>
      </w:r>
    </w:p>
    <w:p>
      <w:pPr>
        <w:spacing w:after="0" w:line="97"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68"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11,747 shares of common stock owned directly by Mr. McMahon, (b) 30,020 shares of common stock owned by the John D. McMahon 1995 Trust, (c) 8,000 shares of common stock issuable upon the exercise of options exercisable within 60 days of April 29, 2022 and (d) 629 shares of common stock issuable upon the vesting of RSUs within 60 days of April 29, 2022.</w:t>
      </w:r>
    </w:p>
    <w:p>
      <w:pPr>
        <w:spacing w:after="0" w:line="209"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27"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1,321,561 shares of common stock owned directly by Mr. Merriman, (b) 550,896 shares of common stock held by The Dwight A. Merriman 2012 Trust for the benefit of his children, (c) 154,750 shares of common stock issuable upon the exercise of options exercisable within 60 days of April 29, 2022 and (d) 629 shares of common stock issuable upon the vesting of RSUs within 60 days of April 29, 2022.</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41"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6,625 shares of common stock owned by Mr. Pech and (b) 31,143 shares of common stock owned by KW Investments SRL, an Italian limited liability company owned by Mr. Pech and his spouse.</w:t>
      </w:r>
    </w:p>
    <w:p>
      <w:pPr>
        <w:spacing w:after="0" w:line="19"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2,117 shares of common stock owned directly by Mr. Porter.</w:t>
      </w:r>
    </w:p>
    <w:p>
      <w:pPr>
        <w:spacing w:after="0" w:line="81"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341"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2,505,006 shares of common stock, (b) 1,431,259 shares of common stock issuable upon the exercise of options exercisable within 60 days of April 29, 2022 and (c) 5,032 shares of common stock issuable upon the vesting of RSUs within 60 days of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January 31, 2022 with the SEC. It is available free of charge at the SEC’s web site at www.sec.gov. Stockholders can also access this proxy statement and our Annual Report on Form 10-K at investors.mongodb.com, or a copy of our Annual Report on Form 10-K for the fiscal year ended January 31, 2022 is available without charge upon written request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449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449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0" w:num="1">
        <w:col w:w="10139"/>
      </w:cols>
      <w:pgMar w:left="320" w:top="3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4"/>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4"/>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2022-05-17T15:06:56Z</dcterms:created>
  <dcterms:modified xsi:type="dcterms:W3CDTF">2022-05-17T15:06:56Z</dcterms:modified>
</cp:coreProperties>
</file>