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6843787.xml.htm"/>
      <w:bookmarkStart w:id="1" w:name="kswkform4_175684378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Hazard Charles M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FLYBRIDGE CAPITAL PARTNERS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BOYLSTON ST,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MongoDB, Inc.</w:t>
              </w:r>
            </w:hyperlink>
            <w:r>
              <w:rPr/>
              <w:t xml:space="preserve"> [ </w:t>
            </w:r>
            <w:r>
              <w:rPr>
                <w:rFonts w:ascii="Times;serif" w:hAnsi="Times;serif"/>
                <w:color w:val="0000FF"/>
                <w:sz w:val="24"/>
                <w:shd w:fill="FFFFFF" w:val="clear"/>
              </w:rPr>
              <w:t>MDB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60"/>
        <w:gridCol w:w="465"/>
        <w:gridCol w:w="638"/>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6,668</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w:t>
            </w:r>
            <w:r>
              <w:rPr/>
              <w:t xml:space="preserve"> </w:t>
            </w:r>
          </w:p>
        </w:tc>
        <w:tc>
          <w:tcPr>
            <w:tcW w:w="11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48,199</w:t>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08/28/2025</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14,659</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pursuant to a Rule 10b5-1 trading plan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by The Narragansett Bay Childrens Trust (the "Trust"). The reporting person is the Trustee of the Trust and, as such, has the power to vote and dispose of the shares held by the Trust. The reporting person disclaims beneficial ownership of the shares owned by the Trust except to the extent of his pecuniary interest therein and this report shall not be deemed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Johnston,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39247" TargetMode="External"/><Relationship Id="rId5" Type="http://schemas.openxmlformats.org/officeDocument/2006/relationships/hyperlink" Target="http://www.sec.gov/cgi-bin/browse-edgar?action=getcompany&amp;CIK=00014418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685</Words>
  <Characters>3637</Characters>
  <CharactersWithSpaces>4255</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