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833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83399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Gordon Michael Lawrence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MongoDB,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MDB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10/14/2024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1077"/>
        <w:spacing w:after="0"/>
        <w:rPr>
          <w:sz w:val="20"/>
          <w:szCs w:val="20"/>
          <w:color w:val="auto"/>
        </w:rPr>
      </w:pPr>
      <w:r>
        <w:rPr>
          <w:rFonts w:ascii="Times New Roman" w:cs="Times New Roman" w:eastAsia="Times New Roman" w:hAnsi="Times New Roman"/>
          <w:sz w:val="17"/>
          <w:szCs w:val="17"/>
          <w:color w:val="0000FF"/>
        </w:rPr>
        <w:t>COO and CFO</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10019</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jc w:val="center"/>
              <w:ind w:left="52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47"/>
              <w:spacing w:after="0"/>
              <w:rPr>
                <w:sz w:val="20"/>
                <w:szCs w:val="20"/>
                <w:color w:val="auto"/>
              </w:rPr>
            </w:pPr>
            <w:r>
              <w:rPr>
                <w:rFonts w:ascii="Times New Roman" w:cs="Times New Roman" w:eastAsia="Times New Roman" w:hAnsi="Times New Roman"/>
                <w:sz w:val="17"/>
                <w:szCs w:val="17"/>
                <w:color w:val="0000FF"/>
                <w:w w:val="99"/>
              </w:rPr>
              <w:t>5,000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6.5</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85,307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7"/>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287.39</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85,207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7"/>
              <w:spacing w:after="0"/>
              <w:rPr>
                <w:sz w:val="20"/>
                <w:szCs w:val="20"/>
                <w:color w:val="auto"/>
              </w:rPr>
            </w:pPr>
            <w:r>
              <w:rPr>
                <w:rFonts w:ascii="Times New Roman" w:cs="Times New Roman" w:eastAsia="Times New Roman" w:hAnsi="Times New Roman"/>
                <w:sz w:val="17"/>
                <w:szCs w:val="17"/>
                <w:color w:val="0000FF"/>
                <w:w w:val="99"/>
              </w:rPr>
              <w:t>2,084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289.15</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83,123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7"/>
              <w:spacing w:after="0"/>
              <w:rPr>
                <w:sz w:val="20"/>
                <w:szCs w:val="20"/>
                <w:color w:val="auto"/>
              </w:rPr>
            </w:pPr>
            <w:r>
              <w:rPr>
                <w:rFonts w:ascii="Times New Roman" w:cs="Times New Roman" w:eastAsia="Times New Roman" w:hAnsi="Times New Roman"/>
                <w:sz w:val="17"/>
                <w:szCs w:val="17"/>
                <w:color w:val="0000FF"/>
                <w:w w:val="99"/>
              </w:rPr>
              <w:t>1,661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289.98</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81,462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7"/>
              <w:spacing w:after="0"/>
              <w:rPr>
                <w:sz w:val="20"/>
                <w:szCs w:val="20"/>
                <w:color w:val="auto"/>
              </w:rPr>
            </w:pPr>
            <w:r>
              <w:rPr>
                <w:rFonts w:ascii="Times New Roman" w:cs="Times New Roman" w:eastAsia="Times New Roman" w:hAnsi="Times New Roman"/>
                <w:sz w:val="17"/>
                <w:szCs w:val="17"/>
                <w:color w:val="0000FF"/>
              </w:rPr>
              <w:t>217</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291.28</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81,245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7"/>
              <w:spacing w:after="0"/>
              <w:rPr>
                <w:sz w:val="20"/>
                <w:szCs w:val="20"/>
                <w:color w:val="auto"/>
              </w:rPr>
            </w:pPr>
            <w:r>
              <w:rPr>
                <w:rFonts w:ascii="Times New Roman" w:cs="Times New Roman" w:eastAsia="Times New Roman" w:hAnsi="Times New Roman"/>
                <w:sz w:val="17"/>
                <w:szCs w:val="17"/>
                <w:color w:val="0000FF"/>
              </w:rPr>
              <w:t>900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293.51</w:t>
            </w:r>
            <w:r>
              <w:rPr>
                <w:rFonts w:ascii="Times New Roman" w:cs="Times New Roman" w:eastAsia="Times New Roman" w:hAnsi="Times New Roman"/>
                <w:sz w:val="21"/>
                <w:szCs w:val="21"/>
                <w:color w:val="008000"/>
                <w:w w:val="93"/>
                <w:vertAlign w:val="superscript"/>
              </w:rPr>
              <w:t>(6)</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80,345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10/14/2024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47"/>
              <w:spacing w:after="0"/>
              <w:rPr>
                <w:sz w:val="20"/>
                <w:szCs w:val="20"/>
                <w:color w:val="auto"/>
              </w:rPr>
            </w:pPr>
            <w:r>
              <w:rPr>
                <w:rFonts w:ascii="Times New Roman" w:cs="Times New Roman" w:eastAsia="Times New Roman" w:hAnsi="Times New Roman"/>
                <w:sz w:val="17"/>
                <w:szCs w:val="17"/>
                <w:color w:val="0000FF"/>
              </w:rPr>
              <w:t>38</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295.26</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80,307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9"/>
              </w:rPr>
              <w:t>1,000</w:t>
            </w:r>
          </w:p>
        </w:tc>
        <w:tc>
          <w:tcPr>
            <w:tcW w:w="240" w:type="dxa"/>
            <w:vAlign w:val="bottom"/>
          </w:tcPr>
          <w:p>
            <w:pPr>
              <w:spacing w:after="0"/>
              <w:rPr>
                <w:sz w:val="21"/>
                <w:szCs w:val="21"/>
                <w:color w:val="auto"/>
              </w:rPr>
            </w:pPr>
          </w:p>
        </w:tc>
        <w:tc>
          <w:tcPr>
            <w:tcW w:w="680" w:type="dxa"/>
            <w:vAlign w:val="bottom"/>
            <w:vMerge w:val="restart"/>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9"/>
              </w:rPr>
              <w:t>1,000</w:t>
            </w:r>
          </w:p>
        </w:tc>
        <w:tc>
          <w:tcPr>
            <w:tcW w:w="240" w:type="dxa"/>
            <w:vAlign w:val="bottom"/>
          </w:tcPr>
          <w:p>
            <w:pPr>
              <w:spacing w:after="0"/>
              <w:rPr>
                <w:sz w:val="21"/>
                <w:szCs w:val="21"/>
                <w:color w:val="auto"/>
              </w:rPr>
            </w:pPr>
          </w:p>
        </w:tc>
        <w:tc>
          <w:tcPr>
            <w:tcW w:w="680" w:type="dxa"/>
            <w:vAlign w:val="bottom"/>
            <w:vMerge w:val="restart"/>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child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9"/>
              </w:rPr>
              <w:t>1,000</w:t>
            </w:r>
          </w:p>
        </w:tc>
        <w:tc>
          <w:tcPr>
            <w:tcW w:w="240" w:type="dxa"/>
            <w:vAlign w:val="bottom"/>
          </w:tcPr>
          <w:p>
            <w:pPr>
              <w:spacing w:after="0"/>
              <w:rPr>
                <w:sz w:val="21"/>
                <w:szCs w:val="21"/>
                <w:color w:val="auto"/>
              </w:rPr>
            </w:pPr>
          </w:p>
        </w:tc>
        <w:tc>
          <w:tcPr>
            <w:tcW w:w="680" w:type="dxa"/>
            <w:vAlign w:val="bottom"/>
            <w:vMerge w:val="restart"/>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child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9"/>
              </w:rPr>
              <w:t>1,000</w:t>
            </w:r>
          </w:p>
        </w:tc>
        <w:tc>
          <w:tcPr>
            <w:tcW w:w="240" w:type="dxa"/>
            <w:vAlign w:val="bottom"/>
          </w:tcPr>
          <w:p>
            <w:pPr>
              <w:spacing w:after="0"/>
              <w:rPr>
                <w:sz w:val="21"/>
                <w:szCs w:val="21"/>
                <w:color w:val="auto"/>
              </w:rPr>
            </w:pPr>
          </w:p>
        </w:tc>
        <w:tc>
          <w:tcPr>
            <w:tcW w:w="680" w:type="dxa"/>
            <w:vAlign w:val="bottom"/>
            <w:vMerge w:val="restart"/>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child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0"/>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48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5"/>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2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Class A</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5,000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w:t>
            </w: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10/14/2024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60" w:type="dxa"/>
            <w:vAlign w:val="bottom"/>
            <w:vMerge w:val="continue"/>
          </w:tcPr>
          <w:p>
            <w:pPr>
              <w:spacing w:after="0"/>
              <w:rPr>
                <w:sz w:val="12"/>
                <w:szCs w:val="12"/>
                <w:color w:val="auto"/>
              </w:rPr>
            </w:pPr>
          </w:p>
        </w:tc>
        <w:tc>
          <w:tcPr>
            <w:tcW w:w="70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04/13/2026</w:t>
            </w: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w w:val="94"/>
              </w:rPr>
              <w:t>118,859</w:t>
            </w: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were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40" w:right="3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$287.39 to $288.38,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40" w:right="320" w:firstLine="3"/>
        <w:spacing w:after="0" w:line="300"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 shares were sold in multiple transactions at prices ranging from $288.63 to $289.62, inclusive. The Reporting Person undertakes to provide to the Company, any security holder of the Company or the staff of the Securities Exchange Commission, upon request, full information regarding the number of shares sold at each separate price within the ranges</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set forth in this footnote.</w:t>
      </w:r>
    </w:p>
    <w:p>
      <w:pPr>
        <w:spacing w:after="0" w:line="45" w:lineRule="exact"/>
        <w:rPr>
          <w:sz w:val="20"/>
          <w:szCs w:val="20"/>
          <w:color w:val="auto"/>
        </w:rPr>
      </w:pPr>
    </w:p>
    <w:p>
      <w:pPr>
        <w:ind w:firstLine="3"/>
        <w:spacing w:after="0" w:line="243"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$289.68 to $290.67,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$290.90 to $291.89,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$293.09 to $294.08,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43"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$295.26 to $296.25,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Immediately exercisable and fully vested.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60"/>
        <w:spacing w:after="0" w:line="224"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3"/>
          <w:szCs w:val="33"/>
          <w:color w:val="0000FF"/>
          <w:vertAlign w:val="subscript"/>
        </w:rPr>
        <w:t>10/16/2024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-26670</wp:posOffset>
            </wp:positionV>
            <wp:extent cx="1315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220" w:firstLine="3"/>
        <w:spacing w:after="0" w:line="338"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2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5459"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2024-10-16T16:05:39Z</dcterms:created>
  <dcterms:modified xsi:type="dcterms:W3CDTF">2024-10-16T16:05:39Z</dcterms:modified>
</cp:coreProperties>
</file>