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left="280" w:right="1840"/>
        <w:spacing w:after="0" w:line="234" w:lineRule="auto"/>
        <w:rPr>
          <w:sz w:val="20"/>
          <w:szCs w:val="20"/>
          <w:color w:val="auto"/>
        </w:rPr>
      </w:pPr>
      <w:r>
        <w:rPr>
          <w:rFonts w:ascii="Arial" w:cs="Arial" w:eastAsia="Arial" w:hAnsi="Arial"/>
          <w:sz w:val="14"/>
          <w:szCs w:val="14"/>
          <w:b w:val="1"/>
          <w:bCs w:val="1"/>
          <w:color w:val="auto"/>
        </w:rPr>
        <w:t>Draft Registration Statement No. 4 as confidentially submitted to the Securities and Exchange Commission on September 19, 2017. This draft registration statement has not been publicly filed with the Securities and Exchange Commission and all information herein remains strictly confidential.</w:t>
      </w:r>
    </w:p>
    <w:p>
      <w:pPr>
        <w:spacing w:after="0" w:line="19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MONGODB,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3020" w:type="dxa"/>
        <w:tblCellMar>
          <w:top w:w="0" w:type="dxa"/>
          <w:left w:w="0" w:type="dxa"/>
          <w:bottom w:w="0" w:type="dxa"/>
          <w:right w:w="0" w:type="dxa"/>
        </w:tblCellMar>
      </w:tblPr>
      <w:tr>
        <w:trPr>
          <w:trHeight w:val="161"/>
        </w:trPr>
        <w:tc>
          <w:tcPr>
            <w:tcW w:w="176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Delaware</w:t>
            </w:r>
          </w:p>
        </w:tc>
        <w:tc>
          <w:tcPr>
            <w:tcW w:w="1960" w:type="dxa"/>
            <w:vAlign w:val="bottom"/>
          </w:tcPr>
          <w:p>
            <w:pPr>
              <w:jc w:val="right"/>
              <w:ind w:right="832"/>
              <w:spacing w:after="0"/>
              <w:rPr>
                <w:sz w:val="20"/>
                <w:szCs w:val="20"/>
                <w:color w:val="auto"/>
              </w:rPr>
            </w:pPr>
            <w:r>
              <w:rPr>
                <w:rFonts w:ascii="Arial" w:cs="Arial" w:eastAsia="Arial" w:hAnsi="Arial"/>
                <w:sz w:val="14"/>
                <w:szCs w:val="14"/>
                <w:b w:val="1"/>
                <w:bCs w:val="1"/>
                <w:color w:val="auto"/>
              </w:rPr>
              <w:t>7372</w:t>
            </w:r>
          </w:p>
        </w:tc>
        <w:tc>
          <w:tcPr>
            <w:tcW w:w="1480" w:type="dxa"/>
            <w:vAlign w:val="bottom"/>
          </w:tcPr>
          <w:p>
            <w:pPr>
              <w:jc w:val="center"/>
              <w:ind w:left="172"/>
              <w:spacing w:after="0"/>
              <w:rPr>
                <w:sz w:val="20"/>
                <w:szCs w:val="20"/>
                <w:color w:val="auto"/>
              </w:rPr>
            </w:pPr>
            <w:r>
              <w:rPr>
                <w:rFonts w:ascii="Arial" w:cs="Arial" w:eastAsia="Arial" w:hAnsi="Arial"/>
                <w:sz w:val="14"/>
                <w:szCs w:val="14"/>
                <w:b w:val="1"/>
                <w:bCs w:val="1"/>
                <w:color w:val="auto"/>
                <w:w w:val="85"/>
              </w:rPr>
              <w:t>26-1463205</w:t>
            </w:r>
          </w:p>
        </w:tc>
      </w:tr>
      <w:tr>
        <w:trPr>
          <w:trHeight w:val="149"/>
        </w:trPr>
        <w:tc>
          <w:tcPr>
            <w:tcW w:w="17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8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9"/>
              </w:rPr>
              <w:t>(I.R.S. Employer</w:t>
            </w:r>
          </w:p>
        </w:tc>
      </w:tr>
      <w:tr>
        <w:trPr>
          <w:trHeight w:val="147"/>
        </w:trPr>
        <w:tc>
          <w:tcPr>
            <w:tcW w:w="1760" w:type="dxa"/>
            <w:vAlign w:val="bottom"/>
          </w:tcPr>
          <w:p>
            <w:pPr>
              <w:jc w:val="center"/>
              <w:ind w:right="72"/>
              <w:spacing w:after="0" w:line="147" w:lineRule="exact"/>
              <w:rPr>
                <w:sz w:val="20"/>
                <w:szCs w:val="20"/>
                <w:color w:val="auto"/>
              </w:rPr>
            </w:pPr>
            <w:r>
              <w:rPr>
                <w:rFonts w:ascii="Arial" w:cs="Arial" w:eastAsia="Arial" w:hAnsi="Arial"/>
                <w:sz w:val="14"/>
                <w:szCs w:val="14"/>
                <w:color w:val="auto"/>
                <w:w w:val="88"/>
              </w:rPr>
              <w:t>incorporation or organization)</w:t>
            </w:r>
          </w:p>
        </w:tc>
        <w:tc>
          <w:tcPr>
            <w:tcW w:w="1960" w:type="dxa"/>
            <w:vAlign w:val="bottom"/>
          </w:tcPr>
          <w:p>
            <w:pPr>
              <w:jc w:val="center"/>
              <w:ind w:right="32"/>
              <w:spacing w:after="0" w:line="147" w:lineRule="exact"/>
              <w:rPr>
                <w:sz w:val="20"/>
                <w:szCs w:val="20"/>
                <w:color w:val="auto"/>
              </w:rPr>
            </w:pPr>
            <w:r>
              <w:rPr>
                <w:rFonts w:ascii="Arial" w:cs="Arial" w:eastAsia="Arial" w:hAnsi="Arial"/>
                <w:sz w:val="14"/>
                <w:szCs w:val="14"/>
                <w:color w:val="auto"/>
                <w:w w:val="88"/>
              </w:rPr>
              <w:t>Classification Code Number)</w:t>
            </w:r>
          </w:p>
        </w:tc>
        <w:tc>
          <w:tcPr>
            <w:tcW w:w="1480" w:type="dxa"/>
            <w:vAlign w:val="bottom"/>
          </w:tcPr>
          <w:p>
            <w:pPr>
              <w:jc w:val="center"/>
              <w:ind w:left="172"/>
              <w:spacing w:after="0" w:line="147" w:lineRule="exact"/>
              <w:rPr>
                <w:sz w:val="20"/>
                <w:szCs w:val="20"/>
                <w:color w:val="auto"/>
              </w:rPr>
            </w:pPr>
            <w:r>
              <w:rPr>
                <w:rFonts w:ascii="Arial" w:cs="Arial" w:eastAsia="Arial" w:hAnsi="Arial"/>
                <w:sz w:val="14"/>
                <w:szCs w:val="14"/>
                <w:color w:val="auto"/>
                <w:w w:val="90"/>
              </w:rPr>
              <w:t>Identification Number)</w:t>
            </w:r>
          </w:p>
        </w:tc>
      </w:tr>
      <w:tr>
        <w:trPr>
          <w:trHeight w:val="149"/>
        </w:trPr>
        <w:tc>
          <w:tcPr>
            <w:tcW w:w="1760" w:type="dxa"/>
            <w:vAlign w:val="bottom"/>
          </w:tcPr>
          <w:p>
            <w:pPr>
              <w:spacing w:after="0"/>
              <w:rPr>
                <w:sz w:val="12"/>
                <w:szCs w:val="12"/>
                <w:color w:val="auto"/>
              </w:rPr>
            </w:pPr>
          </w:p>
        </w:tc>
        <w:tc>
          <w:tcPr>
            <w:tcW w:w="19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229 W. 43rd Street,</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9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5th Floor</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9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1480" w:type="dxa"/>
            <w:vAlign w:val="bottom"/>
          </w:tcPr>
          <w:p>
            <w:pPr>
              <w:spacing w:after="0"/>
              <w:rPr>
                <w:sz w:val="12"/>
                <w:szCs w:val="12"/>
                <w:color w:val="auto"/>
              </w:rPr>
            </w:pPr>
          </w:p>
        </w:tc>
      </w:tr>
      <w:tr>
        <w:trPr>
          <w:trHeight w:val="174"/>
        </w:trPr>
        <w:tc>
          <w:tcPr>
            <w:tcW w:w="1760" w:type="dxa"/>
            <w:vAlign w:val="bottom"/>
          </w:tcPr>
          <w:p>
            <w:pPr>
              <w:spacing w:after="0"/>
              <w:rPr>
                <w:sz w:val="15"/>
                <w:szCs w:val="15"/>
                <w:color w:val="auto"/>
              </w:rPr>
            </w:pPr>
          </w:p>
        </w:tc>
        <w:tc>
          <w:tcPr>
            <w:tcW w:w="1960" w:type="dxa"/>
            <w:vAlign w:val="bottom"/>
          </w:tcPr>
          <w:p>
            <w:pPr>
              <w:jc w:val="right"/>
              <w:ind w:right="592"/>
              <w:spacing w:after="0"/>
              <w:rPr>
                <w:sz w:val="20"/>
                <w:szCs w:val="20"/>
                <w:color w:val="auto"/>
              </w:rPr>
            </w:pPr>
            <w:r>
              <w:rPr>
                <w:rFonts w:ascii="Arial" w:cs="Arial" w:eastAsia="Arial" w:hAnsi="Arial"/>
                <w:sz w:val="14"/>
                <w:szCs w:val="14"/>
                <w:b w:val="1"/>
                <w:bCs w:val="1"/>
                <w:color w:val="auto"/>
              </w:rPr>
              <w:t>646-727-4092</w:t>
            </w:r>
          </w:p>
        </w:tc>
        <w:tc>
          <w:tcPr>
            <w:tcW w:w="1480" w:type="dxa"/>
            <w:vAlign w:val="bottom"/>
          </w:tcPr>
          <w:p>
            <w:pPr>
              <w:spacing w:after="0"/>
              <w:rPr>
                <w:sz w:val="15"/>
                <w:szCs w:val="15"/>
                <w:color w:val="auto"/>
              </w:rPr>
            </w:pPr>
          </w:p>
        </w:tc>
      </w:tr>
    </w:tbl>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Dev Ittycheria</w:t>
      </w:r>
    </w:p>
    <w:p>
      <w:pPr>
        <w:jc w:val="center"/>
        <w:ind w:right="-3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MongoDB, Inc.</w:t>
      </w:r>
    </w:p>
    <w:p>
      <w:pPr>
        <w:jc w:val="center"/>
        <w:ind w:right="-39"/>
        <w:spacing w:after="0" w:line="221" w:lineRule="auto"/>
        <w:rPr>
          <w:sz w:val="20"/>
          <w:szCs w:val="20"/>
          <w:color w:val="auto"/>
        </w:rPr>
      </w:pPr>
      <w:r>
        <w:rPr>
          <w:rFonts w:ascii="Arial" w:cs="Arial" w:eastAsia="Arial" w:hAnsi="Arial"/>
          <w:sz w:val="14"/>
          <w:szCs w:val="14"/>
          <w:b w:val="1"/>
          <w:bCs w:val="1"/>
          <w:color w:val="auto"/>
        </w:rPr>
        <w:t>229 W. 43rd Street, 5th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10036</w:t>
      </w:r>
    </w:p>
    <w:p>
      <w:pPr>
        <w:jc w:val="center"/>
        <w:ind w:right="-39"/>
        <w:spacing w:after="0" w:line="221" w:lineRule="auto"/>
        <w:rPr>
          <w:sz w:val="20"/>
          <w:szCs w:val="20"/>
          <w:color w:val="auto"/>
        </w:rPr>
      </w:pPr>
      <w:r>
        <w:rPr>
          <w:rFonts w:ascii="Arial" w:cs="Arial" w:eastAsia="Arial" w:hAnsi="Arial"/>
          <w:sz w:val="14"/>
          <w:szCs w:val="14"/>
          <w:b w:val="1"/>
          <w:bCs w:val="1"/>
          <w:color w:val="auto"/>
        </w:rPr>
        <w:t>646-727-4092</w:t>
      </w: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50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2240" w:type="dxa"/>
            <w:vAlign w:val="bottom"/>
          </w:tcPr>
          <w:p>
            <w:pPr>
              <w:jc w:val="center"/>
              <w:ind w:left="72"/>
              <w:spacing w:after="0"/>
              <w:rPr>
                <w:sz w:val="20"/>
                <w:szCs w:val="20"/>
                <w:color w:val="auto"/>
              </w:rPr>
            </w:pPr>
            <w:r>
              <w:rPr>
                <w:rFonts w:ascii="Arial" w:cs="Arial" w:eastAsia="Arial" w:hAnsi="Arial"/>
                <w:sz w:val="14"/>
                <w:szCs w:val="14"/>
                <w:b w:val="1"/>
                <w:bCs w:val="1"/>
                <w:color w:val="auto"/>
                <w:w w:val="84"/>
              </w:rPr>
              <w:t>Copies to:</w:t>
            </w:r>
          </w:p>
        </w:tc>
        <w:tc>
          <w:tcPr>
            <w:tcW w:w="2480" w:type="dxa"/>
            <w:vAlign w:val="bottom"/>
          </w:tcPr>
          <w:p>
            <w:pPr>
              <w:spacing w:after="0"/>
              <w:rPr>
                <w:sz w:val="15"/>
                <w:szCs w:val="15"/>
                <w:color w:val="auto"/>
              </w:rPr>
            </w:pPr>
          </w:p>
        </w:tc>
      </w:tr>
      <w:tr>
        <w:trPr>
          <w:trHeight w:val="366"/>
        </w:trPr>
        <w:tc>
          <w:tcPr>
            <w:tcW w:w="2020" w:type="dxa"/>
            <w:vAlign w:val="bottom"/>
          </w:tcPr>
          <w:p>
            <w:pPr>
              <w:jc w:val="center"/>
              <w:ind w:right="292"/>
              <w:spacing w:after="0"/>
              <w:rPr>
                <w:sz w:val="20"/>
                <w:szCs w:val="20"/>
                <w:color w:val="auto"/>
              </w:rPr>
            </w:pPr>
            <w:r>
              <w:rPr>
                <w:rFonts w:ascii="Arial" w:cs="Arial" w:eastAsia="Arial" w:hAnsi="Arial"/>
                <w:sz w:val="14"/>
                <w:szCs w:val="14"/>
                <w:b w:val="1"/>
                <w:bCs w:val="1"/>
                <w:color w:val="auto"/>
                <w:w w:val="87"/>
              </w:rPr>
              <w:t>Babak Yaghmaie</w:t>
            </w:r>
          </w:p>
        </w:tc>
        <w:tc>
          <w:tcPr>
            <w:tcW w:w="2240" w:type="dxa"/>
            <w:vAlign w:val="bottom"/>
          </w:tcPr>
          <w:p>
            <w:pPr>
              <w:jc w:val="center"/>
              <w:ind w:left="72"/>
              <w:spacing w:after="0"/>
              <w:rPr>
                <w:sz w:val="20"/>
                <w:szCs w:val="20"/>
                <w:color w:val="auto"/>
              </w:rPr>
            </w:pPr>
            <w:r>
              <w:rPr>
                <w:rFonts w:ascii="Arial" w:cs="Arial" w:eastAsia="Arial" w:hAnsi="Arial"/>
                <w:sz w:val="14"/>
                <w:szCs w:val="14"/>
                <w:b w:val="1"/>
                <w:bCs w:val="1"/>
                <w:color w:val="auto"/>
                <w:w w:val="88"/>
              </w:rPr>
              <w:t>Michael Gordon</w:t>
            </w:r>
          </w:p>
        </w:tc>
        <w:tc>
          <w:tcPr>
            <w:tcW w:w="2480" w:type="dxa"/>
            <w:vAlign w:val="bottom"/>
          </w:tcPr>
          <w:p>
            <w:pPr>
              <w:jc w:val="center"/>
              <w:ind w:left="152"/>
              <w:spacing w:after="0"/>
              <w:rPr>
                <w:sz w:val="20"/>
                <w:szCs w:val="20"/>
                <w:color w:val="auto"/>
              </w:rPr>
            </w:pPr>
            <w:r>
              <w:rPr>
                <w:rFonts w:ascii="Arial" w:cs="Arial" w:eastAsia="Arial" w:hAnsi="Arial"/>
                <w:sz w:val="14"/>
                <w:szCs w:val="14"/>
                <w:b w:val="1"/>
                <w:bCs w:val="1"/>
                <w:color w:val="auto"/>
                <w:w w:val="88"/>
              </w:rPr>
              <w:t>Jeffrey D. Saper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Eric Jensen</w:t>
            </w:r>
          </w:p>
        </w:tc>
        <w:tc>
          <w:tcPr>
            <w:tcW w:w="22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Andrew Stephens</w:t>
            </w:r>
          </w:p>
        </w:tc>
        <w:tc>
          <w:tcPr>
            <w:tcW w:w="24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90"/>
              </w:rPr>
              <w:t>Michael C. Labriola</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Nicole Brookshire</w:t>
            </w:r>
          </w:p>
        </w:tc>
        <w:tc>
          <w:tcPr>
            <w:tcW w:w="22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MongoDB, Inc.</w:t>
            </w:r>
          </w:p>
        </w:tc>
        <w:tc>
          <w:tcPr>
            <w:tcW w:w="24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Megan J. Baier</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Cooley LLP</w:t>
            </w:r>
          </w:p>
        </w:tc>
        <w:tc>
          <w:tcPr>
            <w:tcW w:w="22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229 W. 43rd Street, 5th Floor</w:t>
            </w:r>
          </w:p>
        </w:tc>
        <w:tc>
          <w:tcPr>
            <w:tcW w:w="24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Wilson Sonsini Goodrich &amp; Rosati, P.C.</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1114 Avenue of the Americas</w:t>
            </w:r>
          </w:p>
        </w:tc>
        <w:tc>
          <w:tcPr>
            <w:tcW w:w="22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248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1301 Avenue of the Americas,</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22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646-727-4092</w:t>
            </w:r>
          </w:p>
        </w:tc>
        <w:tc>
          <w:tcPr>
            <w:tcW w:w="24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40th Floor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212-479-6000</w:t>
            </w:r>
          </w:p>
        </w:tc>
        <w:tc>
          <w:tcPr>
            <w:tcW w:w="2240" w:type="dxa"/>
            <w:vAlign w:val="bottom"/>
          </w:tcPr>
          <w:p>
            <w:pPr>
              <w:spacing w:after="0"/>
              <w:rPr>
                <w:sz w:val="12"/>
                <w:szCs w:val="12"/>
                <w:color w:val="auto"/>
              </w:rPr>
            </w:pPr>
          </w:p>
        </w:tc>
        <w:tc>
          <w:tcPr>
            <w:tcW w:w="24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New York, NY 10019</w:t>
            </w:r>
          </w:p>
        </w:tc>
      </w:tr>
      <w:tr>
        <w:trPr>
          <w:trHeight w:val="174"/>
        </w:trPr>
        <w:tc>
          <w:tcPr>
            <w:tcW w:w="20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8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212-999-5800</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0"/>
        <w:spacing w:after="0"/>
        <w:tabs>
          <w:tab w:leader="none" w:pos="111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as amended,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698"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98" w:right="279" w:bottom="0" w:gutter="0" w:footer="0" w:header="0"/>
          <w:type w:val="continuous"/>
        </w:sectPr>
      </w:pPr>
    </w:p>
    <w:bookmarkStart w:id="1" w:name="page2"/>
    <w:bookmarkEnd w:id="1"/>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jc w:val="center"/>
        <w:ind w:right="420"/>
        <w:spacing w:after="0" w:line="11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3100" w:space="720"/>
            <w:col w:w="1400" w:space="720"/>
            <w:col w:w="1740" w:space="720"/>
            <w:col w:w="3020"/>
          </w:cols>
          <w:pgMar w:left="240" w:top="104" w:right="239" w:bottom="1440" w:gutter="0" w:footer="0" w:header="0"/>
        </w:sectPr>
      </w:pPr>
    </w:p>
    <w:p>
      <w:pPr>
        <w:spacing w:after="0" w:line="15" w:lineRule="exact"/>
        <w:rPr>
          <w:sz w:val="20"/>
          <w:szCs w:val="20"/>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900" w:type="dxa"/>
            <w:vAlign w:val="bottom"/>
            <w:tcBorders>
              <w:top w:val="single" w:sz="8" w:color="auto"/>
              <w:bottom w:val="single" w:sz="8" w:color="auto"/>
            </w:tcBorders>
          </w:tcPr>
          <w:p>
            <w:pPr>
              <w:spacing w:after="0"/>
              <w:rPr>
                <w:sz w:val="3"/>
                <w:szCs w:val="3"/>
                <w:color w:val="auto"/>
              </w:rPr>
            </w:pPr>
          </w:p>
        </w:tc>
        <w:tc>
          <w:tcPr>
            <w:tcW w:w="31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3100" w:type="dxa"/>
            <w:vAlign w:val="bottom"/>
          </w:tcPr>
          <w:p>
            <w:pPr>
              <w:jc w:val="center"/>
              <w:ind w:left="1618"/>
              <w:spacing w:after="0" w:line="117"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6900" w:type="dxa"/>
            <w:vAlign w:val="bottom"/>
          </w:tcPr>
          <w:p>
            <w:pPr>
              <w:jc w:val="center"/>
              <w:ind w:left="1492"/>
              <w:spacing w:after="0"/>
              <w:rPr>
                <w:sz w:val="20"/>
                <w:szCs w:val="20"/>
                <w:color w:val="auto"/>
              </w:rPr>
            </w:pPr>
            <w:r>
              <w:rPr>
                <w:rFonts w:ascii="Arial" w:cs="Arial" w:eastAsia="Arial" w:hAnsi="Arial"/>
                <w:sz w:val="14"/>
                <w:szCs w:val="14"/>
                <w:b w:val="1"/>
                <w:bCs w:val="1"/>
                <w:color w:val="auto"/>
                <w:w w:val="85"/>
              </w:rPr>
              <w:t>Title of Each Class of Securities</w:t>
            </w:r>
          </w:p>
        </w:tc>
        <w:tc>
          <w:tcPr>
            <w:tcW w:w="3100" w:type="dxa"/>
            <w:vAlign w:val="bottom"/>
          </w:tcPr>
          <w:p>
            <w:pPr>
              <w:jc w:val="center"/>
              <w:ind w:left="1638"/>
              <w:spacing w:after="0"/>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tcPr>
          <w:p>
            <w:pPr>
              <w:jc w:val="center"/>
              <w:ind w:left="1512"/>
              <w:spacing w:after="0"/>
              <w:rPr>
                <w:sz w:val="20"/>
                <w:szCs w:val="20"/>
                <w:color w:val="auto"/>
              </w:rPr>
            </w:pPr>
            <w:r>
              <w:rPr>
                <w:rFonts w:ascii="Arial" w:cs="Arial" w:eastAsia="Arial" w:hAnsi="Arial"/>
                <w:sz w:val="14"/>
                <w:szCs w:val="14"/>
                <w:b w:val="1"/>
                <w:bCs w:val="1"/>
                <w:color w:val="auto"/>
                <w:w w:val="83"/>
              </w:rPr>
              <w:t>to be Registered</w:t>
            </w:r>
          </w:p>
        </w:tc>
        <w:tc>
          <w:tcPr>
            <w:tcW w:w="3100" w:type="dxa"/>
            <w:vAlign w:val="bottom"/>
            <w:tcBorders>
              <w:bottom w:val="single" w:sz="8" w:color="auto"/>
            </w:tcBorders>
          </w:tcPr>
          <w:p>
            <w:pPr>
              <w:jc w:val="center"/>
              <w:ind w:left="1638"/>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4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Registration Fee</w:t>
            </w:r>
          </w:p>
        </w:tc>
      </w:tr>
      <w:tr>
        <w:trPr>
          <w:trHeight w:val="167"/>
        </w:trPr>
        <w:tc>
          <w:tcPr>
            <w:tcW w:w="20" w:type="dxa"/>
            <w:vAlign w:val="bottom"/>
            <w:tcBorders>
              <w:bottom w:val="single" w:sz="8" w:color="auto"/>
            </w:tcBorders>
          </w:tcPr>
          <w:p>
            <w:pPr>
              <w:spacing w:after="0"/>
              <w:rPr>
                <w:sz w:val="14"/>
                <w:szCs w:val="1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Common Stock, $0.001 par value per share</w:t>
            </w:r>
          </w:p>
        </w:tc>
        <w:tc>
          <w:tcPr>
            <w:tcW w:w="3100" w:type="dxa"/>
            <w:vAlign w:val="bottom"/>
            <w:tcBorders>
              <w:bottom w:val="single" w:sz="8" w:color="auto"/>
            </w:tcBorders>
          </w:tcPr>
          <w:p>
            <w:pPr>
              <w:jc w:val="right"/>
              <w:ind w:right="121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0"/>
          <w:szCs w:val="10"/>
          <w:color w:val="auto"/>
        </w:rPr>
      </w:pPr>
      <w:r>
        <w:rPr>
          <w:rFonts w:ascii="Arial" w:cs="Arial" w:eastAsia="Arial" w:hAnsi="Arial"/>
          <w:sz w:val="12"/>
          <w:szCs w:val="12"/>
          <w:color w:val="auto"/>
        </w:rPr>
        <w:t>In accordance with Rule 457(o) under the Securities Act of 1933, as amended, the number of shares being registered and the proposed maximum offering price per share are not included in this table.</w:t>
      </w:r>
    </w:p>
    <w:p>
      <w:pPr>
        <w:spacing w:after="0" w:line="145" w:lineRule="exact"/>
        <w:rPr>
          <w:rFonts w:ascii="Arial" w:cs="Arial" w:eastAsia="Arial" w:hAnsi="Arial"/>
          <w:sz w:val="10"/>
          <w:szCs w:val="10"/>
          <w:color w:val="auto"/>
        </w:rPr>
      </w:pPr>
    </w:p>
    <w:p>
      <w:pPr>
        <w:ind w:left="540" w:right="60" w:hanging="532"/>
        <w:spacing w:after="0" w:line="239"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Estimated solely for purposes of computing the amount of the registration fee pursuant to Rule 457(o) under the Securities Act of 1933, as amended. Includes the aggregate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37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PRELIMINARY 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Issued September 19, 2017</w:t>
      </w:r>
    </w:p>
    <w:p>
      <w:pPr>
        <w:spacing w:after="0" w:line="199"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160020</wp:posOffset>
            </wp:positionV>
            <wp:extent cx="294132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413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MongoDB, Inc. is offering shares of its Class A common stock, and the selling stockholders are offering an additional shares of Class A common stock. We will not receive any of the proceeds from the shares of Class A common stock sold by the selling stockholders. This is our initial public offering, and no public market currently exists for our shares of Class A Common Stock. We anticipate that the initial public offering price of the Class A common stock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will be entitled to ten votes per share and will be convertible into one share of Class A common stock at any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w w:val="91"/>
              </w:rPr>
              <w:t>Outstanding shares of Class B common stock will represent approximately</w:t>
            </w: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w w:val="90"/>
              </w:rPr>
              <w:t>% of the voting power of our outstanding capital stock immediately following the</w:t>
            </w:r>
          </w:p>
        </w:tc>
      </w:tr>
      <w:tr>
        <w:trPr>
          <w:trHeight w:val="216"/>
        </w:trPr>
        <w:tc>
          <w:tcPr>
            <w:tcW w:w="7660" w:type="dxa"/>
            <w:vAlign w:val="bottom"/>
            <w:gridSpan w:val="4"/>
          </w:tcPr>
          <w:p>
            <w:pPr>
              <w:spacing w:after="0"/>
              <w:rPr>
                <w:sz w:val="20"/>
                <w:szCs w:val="20"/>
                <w:color w:val="auto"/>
              </w:rPr>
            </w:pPr>
            <w:r>
              <w:rPr>
                <w:rFonts w:ascii="Arial" w:cs="Arial" w:eastAsia="Arial" w:hAnsi="Arial"/>
                <w:sz w:val="18"/>
                <w:szCs w:val="18"/>
                <w:color w:val="auto"/>
                <w:w w:val="92"/>
              </w:rPr>
              <w:t>closing of this offering, with our directors and executive officers and their affiliates holding approximately</w:t>
            </w:r>
          </w:p>
        </w:tc>
        <w:tc>
          <w:tcPr>
            <w:tcW w:w="3720" w:type="dxa"/>
            <w:vAlign w:val="bottom"/>
          </w:tcPr>
          <w:p>
            <w:pPr>
              <w:ind w:left="180"/>
              <w:spacing w:after="0"/>
              <w:rPr>
                <w:sz w:val="20"/>
                <w:szCs w:val="20"/>
                <w:color w:val="auto"/>
              </w:rPr>
            </w:pPr>
            <w:r>
              <w:rPr>
                <w:rFonts w:ascii="Arial" w:cs="Arial" w:eastAsia="Arial" w:hAnsi="Arial"/>
                <w:sz w:val="18"/>
                <w:szCs w:val="18"/>
                <w:color w:val="auto"/>
                <w:w w:val="98"/>
              </w:rPr>
              <w:t>%, assuming in each case no exercise of the</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underwriters' over-allotment option.</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8"/>
        </w:trPr>
        <w:tc>
          <w:tcPr>
            <w:tcW w:w="4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left="360"/>
        <w:spacing w:after="0"/>
        <w:tabs>
          <w:tab w:leader="none" w:pos="54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60" w:firstLine="351"/>
        <w:spacing w:after="0" w:line="243" w:lineRule="auto"/>
        <w:rPr>
          <w:sz w:val="20"/>
          <w:szCs w:val="20"/>
          <w:color w:val="auto"/>
        </w:rPr>
      </w:pPr>
      <w:r>
        <w:rPr>
          <w:rFonts w:ascii="Arial" w:cs="Arial" w:eastAsia="Arial" w:hAnsi="Arial"/>
          <w:sz w:val="22"/>
          <w:szCs w:val="22"/>
          <w:b w:val="1"/>
          <w:bCs w:val="1"/>
          <w:color w:val="auto"/>
        </w:rPr>
        <w:t>We are an "emerging growth company" as defined under the U.S. federal securities laws and, as such, may elect to comply with certain reduced public company reporting requirements for this and future filings. Investing in our Class A common stock involves risks. See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129540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60"/>
        <w:spacing w:after="0"/>
        <w:tabs>
          <w:tab w:leader="none" w:pos="5800" w:val="left"/>
        </w:tabs>
        <w:rPr>
          <w:sz w:val="20"/>
          <w:szCs w:val="20"/>
          <w:color w:val="auto"/>
        </w:rPr>
      </w:pPr>
      <w:r>
        <w:rPr>
          <w:rFonts w:ascii="Arial" w:cs="Arial" w:eastAsia="Arial" w:hAnsi="Arial"/>
          <w:sz w:val="18"/>
          <w:szCs w:val="18"/>
          <w:color w:val="auto"/>
        </w:rPr>
        <w:t>PRICE $</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52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40" w:type="dxa"/>
            <w:vAlign w:val="bottom"/>
          </w:tcPr>
          <w:p>
            <w:pPr>
              <w:jc w:val="center"/>
              <w:ind w:left="244"/>
              <w:spacing w:after="0" w:line="129" w:lineRule="exact"/>
              <w:rPr>
                <w:sz w:val="20"/>
                <w:szCs w:val="20"/>
                <w:color w:val="auto"/>
              </w:rPr>
            </w:pPr>
            <w:r>
              <w:rPr>
                <w:rFonts w:ascii="Arial" w:cs="Arial" w:eastAsia="Arial" w:hAnsi="Arial"/>
                <w:sz w:val="14"/>
                <w:szCs w:val="14"/>
                <w:b w:val="1"/>
                <w:bCs w:val="1"/>
                <w:color w:val="auto"/>
                <w:w w:val="90"/>
              </w:rPr>
              <w:t>Underwriting</w:t>
            </w:r>
          </w:p>
        </w:tc>
        <w:tc>
          <w:tcPr>
            <w:tcW w:w="1520" w:type="dxa"/>
            <w:vAlign w:val="bottom"/>
          </w:tcPr>
          <w:p>
            <w:pPr>
              <w:spacing w:after="0"/>
              <w:rPr>
                <w:sz w:val="11"/>
                <w:szCs w:val="11"/>
                <w:color w:val="auto"/>
              </w:rPr>
            </w:pPr>
          </w:p>
        </w:tc>
        <w:tc>
          <w:tcPr>
            <w:tcW w:w="154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2"/>
              </w:rPr>
              <w:t>Proceeds to</w:t>
            </w: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5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Proceeds to</w:t>
            </w:r>
          </w:p>
        </w:tc>
        <w:tc>
          <w:tcPr>
            <w:tcW w:w="154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82"/>
              </w:rPr>
              <w:t>Selling</w:t>
            </w:r>
          </w:p>
        </w:tc>
      </w:tr>
      <w:tr>
        <w:trPr>
          <w:trHeight w:val="203"/>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Price to Public</w:t>
            </w:r>
          </w:p>
        </w:tc>
        <w:tc>
          <w:tcPr>
            <w:tcW w:w="1340" w:type="dxa"/>
            <w:vAlign w:val="bottom"/>
            <w:tcBorders>
              <w:bottom w:val="single" w:sz="8" w:color="auto"/>
            </w:tcBorders>
          </w:tcPr>
          <w:p>
            <w:pPr>
              <w:jc w:val="center"/>
              <w:ind w:left="244"/>
              <w:spacing w:after="0" w:line="203" w:lineRule="exact"/>
              <w:rPr>
                <w:sz w:val="20"/>
                <w:szCs w:val="20"/>
                <w:color w:val="auto"/>
              </w:rPr>
            </w:pPr>
            <w:r>
              <w:rPr>
                <w:rFonts w:ascii="Arial" w:cs="Arial" w:eastAsia="Arial" w:hAnsi="Arial"/>
                <w:sz w:val="14"/>
                <w:szCs w:val="14"/>
                <w:b w:val="1"/>
                <w:bCs w:val="1"/>
                <w:color w:val="auto"/>
                <w:w w:val="81"/>
              </w:rPr>
              <w:t>Commissions</w:t>
            </w:r>
            <w:r>
              <w:rPr>
                <w:rFonts w:ascii="Arial" w:cs="Arial" w:eastAsia="Arial" w:hAnsi="Arial"/>
                <w:sz w:val="22"/>
                <w:szCs w:val="22"/>
                <w:b w:val="1"/>
                <w:bCs w:val="1"/>
                <w:color w:val="auto"/>
                <w:w w:val="81"/>
                <w:vertAlign w:val="superscript"/>
              </w:rPr>
              <w:t>(1)</w:t>
            </w:r>
          </w:p>
        </w:tc>
        <w:tc>
          <w:tcPr>
            <w:tcW w:w="15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MongoDB</w:t>
            </w:r>
          </w:p>
        </w:tc>
        <w:tc>
          <w:tcPr>
            <w:tcW w:w="154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83"/>
              </w:rPr>
              <w:t>Stockholders</w:t>
            </w: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1540" w:type="dxa"/>
            <w:vAlign w:val="bottom"/>
          </w:tcPr>
          <w:p>
            <w:pPr>
              <w:jc w:val="right"/>
              <w:ind w:right="1099"/>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24"/>
              <w:spacing w:after="0"/>
              <w:rPr>
                <w:sz w:val="20"/>
                <w:szCs w:val="20"/>
                <w:color w:val="auto"/>
              </w:rPr>
            </w:pPr>
            <w:r>
              <w:rPr>
                <w:rFonts w:ascii="Arial" w:cs="Arial" w:eastAsia="Arial" w:hAnsi="Arial"/>
                <w:sz w:val="18"/>
                <w:szCs w:val="18"/>
                <w:color w:val="auto"/>
              </w:rPr>
              <w:t>$</w:t>
            </w:r>
          </w:p>
        </w:tc>
      </w:tr>
      <w:tr>
        <w:trPr>
          <w:trHeight w:val="21"/>
        </w:trPr>
        <w:tc>
          <w:tcPr>
            <w:tcW w:w="5480" w:type="dxa"/>
            <w:vAlign w:val="bottom"/>
            <w:tcBorders>
              <w:bottom w:val="single" w:sz="8" w:color="auto"/>
            </w:tcBorders>
            <w:gridSpan w:val="3"/>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1099"/>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24"/>
              <w:spacing w:after="0"/>
              <w:rPr>
                <w:sz w:val="20"/>
                <w:szCs w:val="20"/>
                <w:color w:val="auto"/>
              </w:rPr>
            </w:pPr>
            <w:r>
              <w:rPr>
                <w:rFonts w:ascii="Arial" w:cs="Arial" w:eastAsia="Arial" w:hAnsi="Arial"/>
                <w:sz w:val="18"/>
                <w:szCs w:val="18"/>
                <w:color w:val="auto"/>
              </w:rPr>
              <w:t>$</w:t>
            </w:r>
          </w:p>
        </w:tc>
      </w:tr>
      <w:tr>
        <w:trPr>
          <w:trHeight w:val="21"/>
        </w:trPr>
        <w:tc>
          <w:tcPr>
            <w:tcW w:w="240" w:type="dxa"/>
            <w:vAlign w:val="bottom"/>
            <w:tcBorders>
              <w:bottom w:val="single" w:sz="8" w:color="auto"/>
            </w:tcBorders>
            <w:gridSpan w:val="2"/>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45"/>
        </w:trPr>
        <w:tc>
          <w:tcPr>
            <w:tcW w:w="240" w:type="dxa"/>
            <w:vAlign w:val="bottom"/>
            <w:gridSpan w:val="2"/>
          </w:tcPr>
          <w:p>
            <w:pPr>
              <w:spacing w:after="0"/>
              <w:rPr>
                <w:sz w:val="20"/>
                <w:szCs w:val="20"/>
                <w:color w:val="auto"/>
              </w:rPr>
            </w:pPr>
            <w:r>
              <w:rPr>
                <w:rFonts w:ascii="Arial" w:cs="Arial" w:eastAsia="Arial" w:hAnsi="Arial"/>
                <w:sz w:val="11"/>
                <w:szCs w:val="11"/>
                <w:color w:val="auto"/>
              </w:rPr>
              <w:t>(1)</w:t>
            </w:r>
          </w:p>
        </w:tc>
        <w:tc>
          <w:tcPr>
            <w:tcW w:w="5240" w:type="dxa"/>
            <w:vAlign w:val="bottom"/>
          </w:tcPr>
          <w:p>
            <w:pPr>
              <w:ind w:left="300"/>
              <w:spacing w:after="0"/>
              <w:rPr>
                <w:sz w:val="20"/>
                <w:szCs w:val="20"/>
                <w:color w:val="auto"/>
              </w:rPr>
            </w:pPr>
            <w:r>
              <w:rPr>
                <w:rFonts w:ascii="Arial" w:cs="Arial" w:eastAsia="Arial" w:hAnsi="Arial"/>
                <w:sz w:val="14"/>
                <w:szCs w:val="14"/>
                <w:color w:val="auto"/>
                <w:w w:val="93"/>
              </w:rPr>
              <w:t>See "Underwriting" for a description of the compensation payable to the underwriters.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20" w:type="dxa"/>
            <w:vAlign w:val="bottom"/>
            <w:gridSpan w:val="3"/>
          </w:tcPr>
          <w:p>
            <w:pPr>
              <w:jc w:val="right"/>
              <w:ind w:right="724"/>
              <w:spacing w:after="0"/>
              <w:rPr>
                <w:sz w:val="20"/>
                <w:szCs w:val="20"/>
                <w:color w:val="auto"/>
              </w:rPr>
            </w:pPr>
            <w:r>
              <w:rPr>
                <w:rFonts w:ascii="Arial" w:cs="Arial" w:eastAsia="Arial" w:hAnsi="Arial"/>
                <w:sz w:val="18"/>
                <w:szCs w:val="18"/>
                <w:color w:val="auto"/>
                <w:w w:val="89"/>
              </w:rPr>
              <w:t>We and the selling stockholders have granted the underwriters the right to purchase up to an additional</w:t>
            </w:r>
          </w:p>
        </w:tc>
        <w:tc>
          <w:tcPr>
            <w:tcW w:w="3060" w:type="dxa"/>
            <w:vAlign w:val="bottom"/>
            <w:gridSpan w:val="2"/>
          </w:tcPr>
          <w:p>
            <w:pPr>
              <w:jc w:val="right"/>
              <w:ind w:right="4"/>
              <w:spacing w:after="0"/>
              <w:rPr>
                <w:sz w:val="20"/>
                <w:szCs w:val="20"/>
                <w:color w:val="auto"/>
              </w:rPr>
            </w:pPr>
            <w:r>
              <w:rPr>
                <w:rFonts w:ascii="Arial" w:cs="Arial" w:eastAsia="Arial" w:hAnsi="Arial"/>
                <w:sz w:val="18"/>
                <w:szCs w:val="18"/>
                <w:color w:val="auto"/>
                <w:w w:val="89"/>
              </w:rPr>
              <w:t>shares of Class A common stock to cover</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over-allotments.</w:t>
            </w:r>
          </w:p>
        </w:tc>
        <w:tc>
          <w:tcPr>
            <w:tcW w:w="1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10"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The underwriters expect to deliver the shares of Class A common stock to purchasers on</w:t>
            </w:r>
          </w:p>
        </w:tc>
        <w:tc>
          <w:tcPr>
            <w:tcW w:w="146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18"/>
        </w:trPr>
        <w:tc>
          <w:tcPr>
            <w:tcW w:w="39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r>
    </w:tbl>
    <w:p>
      <w:pPr>
        <w:sectPr>
          <w:pgSz w:w="11900" w:h="16838" w:orient="portrait"/>
          <w:cols w:equalWidth="0" w:num="1">
            <w:col w:w="11420"/>
          </w:cols>
          <w:pgMar w:left="240" w:top="131" w:right="239" w:bottom="198"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4420" w:type="dxa"/>
            <w:vAlign w:val="bottom"/>
          </w:tcPr>
          <w:p>
            <w:pPr>
              <w:ind w:left="840"/>
              <w:spacing w:after="0"/>
              <w:rPr>
                <w:sz w:val="20"/>
                <w:szCs w:val="20"/>
                <w:color w:val="auto"/>
              </w:rPr>
            </w:pPr>
            <w:r>
              <w:rPr>
                <w:rFonts w:ascii="Arial" w:cs="Arial" w:eastAsia="Arial" w:hAnsi="Arial"/>
                <w:sz w:val="22"/>
                <w:szCs w:val="22"/>
                <w:b w:val="1"/>
                <w:bCs w:val="1"/>
                <w:color w:val="auto"/>
              </w:rPr>
              <w:t>Goldman Sachs &amp; Co. LLC</w:t>
            </w:r>
          </w:p>
        </w:tc>
        <w:tc>
          <w:tcPr>
            <w:tcW w:w="1720" w:type="dxa"/>
            <w:vAlign w:val="bottom"/>
          </w:tcPr>
          <w:p>
            <w:pPr>
              <w:ind w:left="120"/>
              <w:spacing w:after="0"/>
              <w:rPr>
                <w:sz w:val="20"/>
                <w:szCs w:val="20"/>
                <w:color w:val="auto"/>
              </w:rPr>
            </w:pPr>
            <w:r>
              <w:rPr>
                <w:rFonts w:ascii="Arial" w:cs="Arial" w:eastAsia="Arial" w:hAnsi="Arial"/>
                <w:sz w:val="22"/>
                <w:szCs w:val="22"/>
                <w:b w:val="1"/>
                <w:bCs w:val="1"/>
                <w:color w:val="auto"/>
              </w:rPr>
              <w:t>Barclays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Allen &amp; Company LLC</w:t>
            </w:r>
          </w:p>
        </w:tc>
      </w:tr>
      <w:tr>
        <w:trPr>
          <w:trHeight w:val="281"/>
        </w:trPr>
        <w:tc>
          <w:tcPr>
            <w:tcW w:w="2320" w:type="dxa"/>
            <w:vAlign w:val="bottom"/>
          </w:tcPr>
          <w:p>
            <w:pPr>
              <w:spacing w:after="0"/>
              <w:rPr>
                <w:sz w:val="20"/>
                <w:szCs w:val="20"/>
                <w:color w:val="auto"/>
              </w:rPr>
            </w:pPr>
            <w:r>
              <w:rPr>
                <w:rFonts w:ascii="Arial" w:cs="Arial" w:eastAsia="Arial" w:hAnsi="Arial"/>
                <w:sz w:val="22"/>
                <w:szCs w:val="22"/>
                <w:b w:val="1"/>
                <w:bCs w:val="1"/>
                <w:color w:val="auto"/>
              </w:rPr>
              <w:t>Stifel</w:t>
            </w:r>
          </w:p>
        </w:tc>
        <w:tc>
          <w:tcPr>
            <w:tcW w:w="4420" w:type="dxa"/>
            <w:vAlign w:val="bottom"/>
          </w:tcPr>
          <w:p>
            <w:pPr>
              <w:ind w:left="2500"/>
              <w:spacing w:after="0"/>
              <w:rPr>
                <w:sz w:val="20"/>
                <w:szCs w:val="20"/>
                <w:color w:val="auto"/>
              </w:rPr>
            </w:pPr>
            <w:r>
              <w:rPr>
                <w:rFonts w:ascii="Arial" w:cs="Arial" w:eastAsia="Arial" w:hAnsi="Arial"/>
                <w:sz w:val="22"/>
                <w:szCs w:val="22"/>
                <w:b w:val="1"/>
                <w:bCs w:val="1"/>
                <w:color w:val="auto"/>
                <w:w w:val="94"/>
              </w:rPr>
              <w:t>Canaccord Genuity</w:t>
            </w:r>
          </w:p>
        </w:tc>
        <w:tc>
          <w:tcPr>
            <w:tcW w:w="172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704"/>
        </w:trPr>
        <w:tc>
          <w:tcPr>
            <w:tcW w:w="2320" w:type="dxa"/>
            <w:vAlign w:val="bottom"/>
          </w:tcPr>
          <w:p>
            <w:pPr>
              <w:jc w:val="right"/>
              <w:ind w:right="899"/>
              <w:spacing w:after="0"/>
              <w:rPr>
                <w:sz w:val="20"/>
                <w:szCs w:val="20"/>
                <w:color w:val="auto"/>
              </w:rPr>
            </w:pPr>
            <w:r>
              <w:rPr>
                <w:rFonts w:ascii="Arial" w:cs="Arial" w:eastAsia="Arial" w:hAnsi="Arial"/>
                <w:sz w:val="18"/>
                <w:szCs w:val="18"/>
                <w:color w:val="auto"/>
              </w:rPr>
              <w:t>, 2017</w:t>
            </w: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8"/>
        </w:trPr>
        <w:tc>
          <w:tcPr>
            <w:tcW w:w="232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gridSpan w:val="10"/>
            <w:vMerge w:val="restart"/>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Prospectus Summary</w:t>
              </w:r>
            </w:hyperlink>
          </w:p>
        </w:tc>
        <w:tc>
          <w:tcPr>
            <w:tcW w:w="7060" w:type="dxa"/>
            <w:vAlign w:val="bottom"/>
            <w:gridSpan w:val="14"/>
            <w:vMerge w:val="restart"/>
          </w:tcPr>
          <w:p>
            <w:pPr>
              <w:spacing w:after="0"/>
              <w:rPr>
                <w:sz w:val="14"/>
                <w:szCs w:val="1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0000EE"/>
            </w:tcBorders>
            <w:gridSpan w:val="10"/>
            <w:vMerge w:val="continue"/>
          </w:tcPr>
          <w:p>
            <w:pPr>
              <w:spacing w:after="0"/>
              <w:rPr>
                <w:sz w:val="14"/>
                <w:szCs w:val="14"/>
                <w:color w:val="auto"/>
              </w:rPr>
            </w:pPr>
          </w:p>
        </w:tc>
        <w:tc>
          <w:tcPr>
            <w:tcW w:w="7060" w:type="dxa"/>
            <w:vAlign w:val="bottom"/>
            <w:gridSpan w:val="14"/>
            <w:vMerge w:val="continue"/>
          </w:tcPr>
          <w:p>
            <w:pPr>
              <w:spacing w:after="0"/>
              <w:rPr>
                <w:sz w:val="14"/>
                <w:szCs w:val="14"/>
                <w:color w:val="auto"/>
              </w:rPr>
            </w:pPr>
          </w:p>
        </w:tc>
        <w:tc>
          <w:tcPr>
            <w:tcW w:w="32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66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Special Note Regarding Forward-Looking Statements</w:t>
              </w:r>
            </w:hyperlink>
          </w:p>
        </w:tc>
        <w:tc>
          <w:tcPr>
            <w:tcW w:w="4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Industry and Market Data</w:t>
              </w:r>
            </w:hyperlink>
          </w:p>
        </w:tc>
        <w:tc>
          <w:tcPr>
            <w:tcW w:w="674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Use of Proceeds</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Dividend Policy</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Capitalization</w:t>
              </w:r>
            </w:hyperlink>
          </w:p>
        </w:tc>
        <w:tc>
          <w:tcPr>
            <w:tcW w:w="756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Dilution</w:t>
              </w:r>
            </w:hyperlink>
          </w:p>
        </w:tc>
        <w:tc>
          <w:tcPr>
            <w:tcW w:w="7960" w:type="dxa"/>
            <w:vAlign w:val="bottom"/>
            <w:gridSpan w:val="2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Selected Consolidated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Management's Discussion and Analysis of Financial Condition and Results of Operations</w:t>
              </w:r>
            </w:hyperlink>
          </w:p>
        </w:tc>
        <w:tc>
          <w:tcPr>
            <w:tcW w:w="22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92">
              <w:r>
                <w:rPr>
                  <w:rFonts w:ascii="Arial" w:cs="Arial" w:eastAsia="Arial" w:hAnsi="Arial"/>
                  <w:sz w:val="18"/>
                  <w:szCs w:val="18"/>
                  <w:color w:val="0000EE"/>
                  <w:w w:val="84"/>
                </w:rPr>
                <w:t>Business</w:t>
              </w:r>
            </w:hyperlink>
          </w:p>
        </w:tc>
        <w:tc>
          <w:tcPr>
            <w:tcW w:w="7920" w:type="dxa"/>
            <w:vAlign w:val="bottom"/>
            <w:gridSpan w:val="2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Management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Certain Relationships and Related Party Transactions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Principal and Selling Stockholders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13"/>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Description of Capital Stock</w:t>
              </w:r>
            </w:hyperlink>
          </w:p>
        </w:tc>
        <w:tc>
          <w:tcPr>
            <w:tcW w:w="420" w:type="dxa"/>
            <w:vAlign w:val="bottom"/>
            <w:gridSpan w:val="2"/>
          </w:tcPr>
          <w:p>
            <w:pPr>
              <w:spacing w:after="0"/>
              <w:rPr>
                <w:sz w:val="17"/>
                <w:szCs w:val="17"/>
                <w:color w:val="auto"/>
              </w:rPr>
            </w:pPr>
          </w:p>
        </w:tc>
        <w:tc>
          <w:tcPr>
            <w:tcW w:w="612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14"/>
          </w:tcPr>
          <w:p>
            <w:pPr>
              <w:spacing w:after="0" w:line="19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Shares Eligible for Future Sale</w:t>
              </w:r>
            </w:hyperlink>
          </w:p>
        </w:tc>
        <w:tc>
          <w:tcPr>
            <w:tcW w:w="638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Material U.S. Federal Income Tax Considerations for Non-U.S. Holders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Underwriting</w:t>
              </w:r>
            </w:hyperlink>
          </w:p>
        </w:tc>
        <w:tc>
          <w:tcPr>
            <w:tcW w:w="4100" w:type="dxa"/>
            <w:vAlign w:val="bottom"/>
            <w:gridSpan w:val="15"/>
          </w:tcPr>
          <w:p>
            <w:pPr>
              <w:spacing w:after="0"/>
              <w:rPr>
                <w:sz w:val="17"/>
                <w:szCs w:val="17"/>
                <w:color w:val="auto"/>
              </w:rPr>
            </w:pPr>
          </w:p>
        </w:tc>
        <w:tc>
          <w:tcPr>
            <w:tcW w:w="350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152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Experts</w:t>
              </w:r>
            </w:hyperlink>
          </w:p>
        </w:tc>
        <w:tc>
          <w:tcPr>
            <w:tcW w:w="758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152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18"/>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Where You Can Find Additional Information</w:t>
              </w:r>
            </w:hyperlink>
          </w:p>
        </w:tc>
        <w:tc>
          <w:tcPr>
            <w:tcW w:w="538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152</w:t>
              </w:r>
            </w:hyperlink>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Index to Consolidated Financial Statements</w:t>
              </w:r>
            </w:hyperlink>
          </w:p>
        </w:tc>
        <w:tc>
          <w:tcPr>
            <w:tcW w:w="53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159">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rely only on the information contained in this document and any free writing prospectus we may authorize to be delivered or made available to you. We, the selling stockholders and the underwriters have not authorized anyone to provide any information or to make any representations other than those contained in this prospectus or in any free writing prospectus prepared by us or on our behalf.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any sale of shares of our Class A common stock.</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Through and including , 2017 (25 days after the date of this prospectus), all dealers that effect transactions in our Class A common stock, whether or not participating in this offering, may be required to deliver a prospectus. This delivery requirement is in addition to the dealer's obligation to deliver a prospectus when acting as an underwriter and with respect to unsold allotments or subscriptions.</w:t>
      </w:r>
    </w:p>
    <w:p>
      <w:pPr>
        <w:spacing w:after="0" w:line="15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80" w:firstLine="351"/>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Class A common stock, you should carefully read this entire prospectus, including our consolidated financial statements and the related notes included elsewhere in this prospectus and the information set forth under the sections titled "Risk Factors," "Special Note Regarding Forward-Looking Statements," and "Management's Discussion and Analysis of Financial Condition and Results of Operations." Unless the context otherwise requires, we use the terms "MongoDB," "company," "our," "us," and "we" in this prospectus to refer to MongoDB, Inc. and, where appropriate, our consolidated subsidiaries. Our fiscal year ends January 31.</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left="240" w:right="240" w:firstLine="342"/>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left="240" w:firstLine="351"/>
        <w:spacing w:after="0" w:line="287"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77" w:lineRule="exact"/>
        <w:rPr>
          <w:sz w:val="20"/>
          <w:szCs w:val="20"/>
          <w:color w:val="auto"/>
        </w:rPr>
      </w:pPr>
    </w:p>
    <w:p>
      <w:pPr>
        <w:ind w:left="240" w:right="300" w:firstLine="351"/>
        <w:spacing w:after="0" w:line="268" w:lineRule="auto"/>
        <w:rPr>
          <w:sz w:val="20"/>
          <w:szCs w:val="20"/>
          <w:color w:val="auto"/>
        </w:rPr>
      </w:pPr>
      <w:r>
        <w:rPr>
          <w:rFonts w:ascii="Arial" w:cs="Arial" w:eastAsia="Arial" w:hAnsi="Arial"/>
          <w:sz w:val="18"/>
          <w:szCs w:val="18"/>
          <w:color w:val="auto"/>
        </w:rPr>
        <w:t>Our unique platform architecture combines the best of both relational and non-relational databases. We believe our core platform differentiation is driven by our ability to address the needs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97"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We believe we have a highly differentiated business model. Our platform is offered under a software subscription business model, with subscription revenue accounting for 90% and 91% of our total revenue in fiscal year 2017 and the six months ended July 31, 2017, respectively.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Our Community Server offering may be downloaded multiple times by an individual user prior to any subsequent subscription purchase.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 10 million times in the last 12 months alone. We provide our platform under a licensing model that protects our intellectual property and supports our software subscription business model.</w:t>
      </w:r>
    </w:p>
    <w:p>
      <w:pPr>
        <w:spacing w:after="0" w:line="172" w:lineRule="exact"/>
        <w:rPr>
          <w:sz w:val="20"/>
          <w:szCs w:val="20"/>
          <w:color w:val="auto"/>
        </w:rPr>
      </w:pPr>
    </w:p>
    <w:p>
      <w:pPr>
        <w:ind w:left="240" w:right="20" w:firstLine="348"/>
        <w:spacing w:after="0" w:line="305" w:lineRule="auto"/>
        <w:rPr>
          <w:sz w:val="20"/>
          <w:szCs w:val="20"/>
          <w:color w:val="auto"/>
        </w:rPr>
      </w:pPr>
      <w:r>
        <w:rPr>
          <w:rFonts w:ascii="Arial" w:cs="Arial" w:eastAsia="Arial" w:hAnsi="Arial"/>
          <w:sz w:val="15"/>
          <w:szCs w:val="15"/>
          <w:color w:val="auto"/>
        </w:rPr>
        <w:t>We have experienced rapid growth. As of July 31, 2017, we had over 4,300 customers across a wide range of industries and in more than 85 countries, compared to over 1,700 and 3,200 customers as of January 31, 2016 and 2017, respectively. Our customers include over half of the Global Fortune 100 companies. As of July 31, 2017, we had over 1,350 customers that were sold through our direct sales force and channel partners, as compared to over 900 and over 1,200 such customers as of January 31, 2016 and 2017, respectively. These customers accounted for 96%, 95% and 92% of our subscription revenue for the fiscal years ended January 31, 2016 and 2017 and the six months ended July 31, 2017, respectively. For the fiscal years ended January 31, 2015, 2016 and 2017, our total revenue was $40.8 million, $65.3 million and $101.4 million, respectively, representing year-over-year growth of 60% for fiscal year 2016 and 55% for fiscal year 2017. For the six months ended July 31, 2017, our total revenue was $68.0 million, representing a 51% increase over revenue for the six months ended July 31, 2016. We believe our net annual recurring revenue, or ARR, expansion rate, which has been over 120% for each of the last ten fiscal quarters, demonstrates the attractiveness of our platform to our customers. See the section titled "Management's Discussion and Analysis of Financial Condition and Results of Operations—Cohort Analysis" for a description of ARR and a discussion of net ARR expansion rate. Our net loss was $76.7 million, $73.5 million, $86.7 million and $45.8 million, for fiscal years 2015, 2016 and 2017 and the six months ended July 31, 2017, respectively. Our operating cash flow was $(62.0) million, $(47.0) million, $(38.1) million and $(26.9) million, for fiscal years 2015, 2016 and 2017 and the six months ended July 31, 2017, respectively. Our free cash flow was $(64.7) million, $(47.4) million, $(39.8) million and $(28.5) million, for fiscal years 2015, 2016 and 2017 and the six months ended July 31, 2017, respectively. See the section titled "Management's Discussion and Analysis of Financial Condition and Results of Operations—Liquidity and Capital Resources—Non-GAAP Free Cash Flow."</w:t>
      </w: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left="240" w:right="60" w:firstLine="351"/>
        <w:spacing w:after="0" w:line="268"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7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56" w:lineRule="auto"/>
        <w:rPr>
          <w:sz w:val="20"/>
          <w:szCs w:val="20"/>
          <w:color w:val="auto"/>
        </w:rPr>
      </w:pPr>
      <w:r>
        <w:rPr>
          <w:rFonts w:ascii="Arial" w:cs="Arial" w:eastAsia="Arial" w:hAnsi="Arial"/>
          <w:sz w:val="18"/>
          <w:szCs w:val="18"/>
          <w:color w:val="auto"/>
        </w:rPr>
        <w:t>software applications to redefine large global industries such as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left="240" w:right="120" w:firstLine="342"/>
        <w:spacing w:after="0" w:line="306" w:lineRule="auto"/>
        <w:rPr>
          <w:sz w:val="20"/>
          <w:szCs w:val="20"/>
          <w:color w:val="auto"/>
        </w:rPr>
      </w:pPr>
      <w:r>
        <w:rPr>
          <w:rFonts w:ascii="Arial" w:cs="Arial" w:eastAsia="Arial" w:hAnsi="Arial"/>
          <w:sz w:val="16"/>
          <w:szCs w:val="16"/>
          <w:color w:val="auto"/>
        </w:rPr>
        <w:t>As software applications have become essential to all businesses,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61" w:lineRule="exact"/>
        <w:rPr>
          <w:sz w:val="20"/>
          <w:szCs w:val="20"/>
          <w:color w:val="auto"/>
        </w:rPr>
      </w:pPr>
    </w:p>
    <w:p>
      <w:pPr>
        <w:ind w:left="240" w:right="540" w:firstLine="351"/>
        <w:spacing w:after="0" w:line="332" w:lineRule="auto"/>
        <w:rPr>
          <w:sz w:val="20"/>
          <w:szCs w:val="20"/>
          <w:color w:val="auto"/>
        </w:rPr>
      </w:pPr>
      <w:r>
        <w:rPr>
          <w:rFonts w:ascii="Arial" w:cs="Arial" w:eastAsia="Arial" w:hAnsi="Arial"/>
          <w:sz w:val="16"/>
          <w:szCs w:val="16"/>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Large organizations can have tens of thousands of applications and associated databases.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left="240" w:right="60" w:firstLine="348"/>
        <w:spacing w:after="0" w:line="290"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jc w:val="both"/>
        <w:ind w:left="240" w:right="20" w:firstLine="351"/>
        <w:spacing w:after="0" w:line="298" w:lineRule="auto"/>
        <w:rPr>
          <w:sz w:val="20"/>
          <w:szCs w:val="20"/>
          <w:color w:val="auto"/>
        </w:rPr>
      </w:pPr>
      <w:r>
        <w:rPr>
          <w:rFonts w:ascii="Arial" w:cs="Arial" w:eastAsia="Arial" w:hAnsi="Arial"/>
          <w:sz w:val="16"/>
          <w:szCs w:val="16"/>
          <w:color w:val="auto"/>
        </w:rPr>
        <w:t>Organizations worldwide are undergoing a fundamental modernization of legacy IT infrastructure and rapidly adopting cloud or hybrid architectures.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ind w:left="240" w:right="12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40" w:firstLine="348"/>
        <w:spacing w:after="0" w:line="289" w:lineRule="auto"/>
        <w:rPr>
          <w:sz w:val="20"/>
          <w:szCs w:val="20"/>
          <w:color w:val="auto"/>
        </w:rPr>
      </w:pPr>
      <w:r>
        <w:rPr>
          <w:rFonts w:ascii="Arial" w:cs="Arial" w:eastAsia="Arial" w:hAnsi="Arial"/>
          <w:sz w:val="16"/>
          <w:szCs w:val="16"/>
          <w:color w:val="auto"/>
        </w:rPr>
        <w:t>The underlying architecture of relational databases, however, remains largely unchanged even though the nature of applications, how they are deployed and their role in business have evolved 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2" w:lineRule="exact"/>
        <w:rPr>
          <w:sz w:val="20"/>
          <w:szCs w:val="20"/>
          <w:color w:val="auto"/>
        </w:rPr>
      </w:pPr>
    </w:p>
    <w:p>
      <w:pPr>
        <w:ind w:left="240" w:right="20" w:firstLine="342"/>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jc w:val="both"/>
        <w:ind w:left="240" w:right="200" w:firstLine="348"/>
        <w:spacing w:after="0" w:line="298" w:lineRule="auto"/>
        <w:rPr>
          <w:sz w:val="20"/>
          <w:szCs w:val="20"/>
          <w:color w:val="auto"/>
        </w:rPr>
      </w:pPr>
      <w:r>
        <w:rPr>
          <w:rFonts w:ascii="Arial" w:cs="Arial" w:eastAsia="Arial" w:hAnsi="Arial"/>
          <w:sz w:val="16"/>
          <w:szCs w:val="16"/>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 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4"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 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and 91%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color w:val="auto"/>
        </w:rPr>
        <w:t>our total revenue in fiscal year 2017 and the six months ended July 31, 2017, respectively. The economic attractiveness of our subscription-based model is driven by customer renewals and increasing existing customer subscriptions over time, referred to as land-and-expand.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201" w:lineRule="exact"/>
        <w:rPr>
          <w:sz w:val="20"/>
          <w:szCs w:val="20"/>
          <w:color w:val="auto"/>
        </w:rPr>
      </w:pPr>
    </w:p>
    <w:p>
      <w:pPr>
        <w:ind w:left="1320" w:right="120" w:hanging="538"/>
        <w:spacing w:after="0" w:line="256"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860" w:right="32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modern server architectures, delivering millions of operations per second.</w:t>
      </w:r>
    </w:p>
    <w:p>
      <w:pPr>
        <w:spacing w:after="0" w:line="199" w:lineRule="exact"/>
        <w:rPr>
          <w:rFonts w:ascii="Arial" w:cs="Arial" w:eastAsia="Arial" w:hAnsi="Arial"/>
          <w:sz w:val="18"/>
          <w:szCs w:val="18"/>
          <w:color w:val="auto"/>
        </w:rPr>
      </w:pPr>
    </w:p>
    <w:p>
      <w:pPr>
        <w:ind w:left="1860" w:right="10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architecture scales horizontally across thousands of servers, supporting petabytes of data and millions of users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globally distributed environment.</w:t>
      </w:r>
    </w:p>
    <w:p>
      <w:pPr>
        <w:spacing w:after="0" w:line="212" w:lineRule="exact"/>
        <w:rPr>
          <w:rFonts w:ascii="Arial" w:cs="Arial" w:eastAsia="Arial" w:hAnsi="Arial"/>
          <w:sz w:val="18"/>
          <w:szCs w:val="18"/>
          <w:color w:val="auto"/>
        </w:rPr>
      </w:pPr>
    </w:p>
    <w:p>
      <w:pPr>
        <w:ind w:left="1860" w:hanging="538"/>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Flexibility. </w:t>
      </w:r>
      <w:r>
        <w:rPr>
          <w:rFonts w:ascii="Arial" w:cs="Arial" w:eastAsia="Arial" w:hAnsi="Arial"/>
          <w:sz w:val="16"/>
          <w:szCs w:val="16"/>
          <w:color w:val="auto"/>
        </w:rPr>
        <w:t>Our document-based architecture easily accommodates the variety of data required by modern applications.</w:t>
      </w:r>
    </w:p>
    <w:p>
      <w:pPr>
        <w:spacing w:after="0" w:line="261" w:lineRule="exact"/>
        <w:rPr>
          <w:rFonts w:ascii="Arial" w:cs="Arial" w:eastAsia="Arial" w:hAnsi="Arial"/>
          <w:sz w:val="16"/>
          <w:szCs w:val="16"/>
          <w:color w:val="auto"/>
        </w:rPr>
      </w:pPr>
    </w:p>
    <w:p>
      <w:pPr>
        <w:ind w:left="1860" w:right="4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20" w:right="160" w:hanging="538"/>
        <w:spacing w:after="0" w:line="290"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 productivity.</w:t>
      </w:r>
    </w:p>
    <w:p>
      <w:pPr>
        <w:spacing w:after="0" w:line="199" w:lineRule="exact"/>
        <w:rPr>
          <w:rFonts w:ascii="Arial" w:cs="Arial" w:eastAsia="Arial" w:hAnsi="Arial"/>
          <w:sz w:val="16"/>
          <w:szCs w:val="16"/>
          <w:color w:val="auto"/>
        </w:rPr>
      </w:pPr>
    </w:p>
    <w:p>
      <w:pPr>
        <w:ind w:left="1320" w:right="140" w:hanging="538"/>
        <w:spacing w:after="0" w:line="294"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320" w:right="20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to 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320" w:right="28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Developer Productivity. </w:t>
      </w:r>
      <w:r>
        <w:rPr>
          <w:rFonts w:ascii="Arial" w:cs="Arial" w:eastAsia="Arial" w:hAnsi="Arial"/>
          <w:sz w:val="18"/>
          <w:szCs w:val="18"/>
          <w:color w:val="auto"/>
        </w:rPr>
        <w:t>By empowering developers to build or modernize applications quickly and cost-efficiently, we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developers' agility, accelerating the time-to-revenue for new products.</w:t>
      </w:r>
    </w:p>
    <w:p>
      <w:pPr>
        <w:spacing w:after="0" w:line="199" w:lineRule="exact"/>
        <w:rPr>
          <w:rFonts w:ascii="Arial" w:cs="Arial" w:eastAsia="Arial" w:hAnsi="Arial"/>
          <w:sz w:val="18"/>
          <w:szCs w:val="18"/>
          <w:color w:val="auto"/>
        </w:rPr>
      </w:pPr>
    </w:p>
    <w:p>
      <w:pPr>
        <w:ind w:left="1320" w:right="360" w:hanging="538"/>
        <w:spacing w:after="0" w:line="332"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Reliability for Mission-Critical Deployments. </w:t>
      </w:r>
      <w:r>
        <w:rPr>
          <w:rFonts w:ascii="Arial" w:cs="Arial" w:eastAsia="Arial" w:hAnsi="Arial"/>
          <w:sz w:val="16"/>
          <w:szCs w:val="16"/>
          <w:color w:val="auto"/>
        </w:rPr>
        <w:t>Our platform is designed to support mission-critical applications by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fault-tolerant and always on, reducing downtime for our customers and minimizing the risk of lost revenue.</w:t>
      </w:r>
    </w:p>
    <w:p>
      <w:pPr>
        <w:spacing w:after="0" w:line="166" w:lineRule="exact"/>
        <w:rPr>
          <w:rFonts w:ascii="Arial" w:cs="Arial" w:eastAsia="Arial" w:hAnsi="Arial"/>
          <w:sz w:val="16"/>
          <w:szCs w:val="16"/>
          <w:color w:val="auto"/>
        </w:rPr>
      </w:pPr>
    </w:p>
    <w:p>
      <w:pPr>
        <w:ind w:left="1320" w:right="2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 resources required for application maintenance, can result in a dramatic reduction in the total cost of ownership for organizations. In addition, our platform runs on commodity hardware, requires less oversight and management from operations personnel and can operate in the cloud or other low-cost environments, leading to reduced application-related costs for our customers.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320" w:right="200" w:hanging="538"/>
        <w:spacing w:after="0" w:line="29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 awareness and frictionless usage and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w:t>
      </w:r>
    </w:p>
    <w:p>
      <w:pPr>
        <w:spacing w:after="0" w:line="187" w:lineRule="exact"/>
        <w:rPr>
          <w:rFonts w:ascii="Arial" w:cs="Arial" w:eastAsia="Arial" w:hAnsi="Arial"/>
          <w:sz w:val="16"/>
          <w:szCs w:val="16"/>
          <w:color w:val="auto"/>
        </w:rPr>
      </w:pPr>
    </w:p>
    <w:p>
      <w:pPr>
        <w:ind w:left="1320" w:right="12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w:t>
      </w:r>
    </w:p>
    <w:p>
      <w:pPr>
        <w:spacing w:after="0" w:line="193" w:lineRule="exact"/>
        <w:rPr>
          <w:rFonts w:ascii="Arial" w:cs="Arial" w:eastAsia="Arial" w:hAnsi="Arial"/>
          <w:sz w:val="16"/>
          <w:szCs w:val="16"/>
          <w:color w:val="auto"/>
        </w:rPr>
      </w:pPr>
    </w:p>
    <w:p>
      <w:pPr>
        <w:ind w:left="1320" w:hanging="538"/>
        <w:spacing w:after="0" w:line="290"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net ARR expansion rate, which has been over 120% for each of the last ten fiscal quarters, demonstrates our ability to expand within existing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10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31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6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and Introduce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becoming the most widely deployed database in the world. We direct our product innovation toward initiatives intended to drive customer adoption and expansion and increase developer productivity.</w:t>
      </w:r>
    </w:p>
    <w:p>
      <w:pPr>
        <w:spacing w:after="0" w:line="207" w:lineRule="exact"/>
        <w:rPr>
          <w:rFonts w:ascii="Arial" w:cs="Arial" w:eastAsia="Arial" w:hAnsi="Arial"/>
          <w:sz w:val="18"/>
          <w:szCs w:val="18"/>
          <w:color w:val="auto"/>
        </w:rPr>
      </w:pPr>
    </w:p>
    <w:p>
      <w:pPr>
        <w:ind w:left="1320" w:right="10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We intend to continue to invest in the MongoDB developer community.</w:t>
      </w:r>
    </w:p>
    <w:p>
      <w:pPr>
        <w:spacing w:after="0" w:line="183" w:lineRule="exact"/>
        <w:rPr>
          <w:rFonts w:ascii="Arial" w:cs="Arial" w:eastAsia="Arial" w:hAnsi="Arial"/>
          <w:sz w:val="16"/>
          <w:szCs w:val="16"/>
          <w:color w:val="auto"/>
        </w:rPr>
      </w:pPr>
    </w:p>
    <w:p>
      <w:pPr>
        <w:jc w:val="both"/>
        <w:ind w:left="1320" w:right="32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and Cultivate Our Partner Ecosystem. </w:t>
      </w:r>
      <w:r>
        <w:rPr>
          <w:rFonts w:ascii="Arial" w:cs="Arial" w:eastAsia="Arial" w:hAnsi="Arial"/>
          <w:sz w:val="16"/>
          <w:szCs w:val="16"/>
          <w:color w:val="auto"/>
        </w:rPr>
        <w:t>We have built a partner ecosystem of independent software vendors, systems integrators,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added resellers and technology partners. Our partners include Accenture, Adobe, Amazon Web Services, or AWS, Cisco, Google, Infosys, Microsoft, Splunk, Tableau and more than 1,000 other organizations. We intend to continue to expand and enhance our partner relationships to grow our market presence and drive greater sales efficiency.</w:t>
      </w:r>
    </w:p>
    <w:p>
      <w:pPr>
        <w:spacing w:after="0" w:line="193" w:lineRule="exact"/>
        <w:rPr>
          <w:rFonts w:ascii="Arial" w:cs="Arial" w:eastAsia="Arial" w:hAnsi="Arial"/>
          <w:sz w:val="16"/>
          <w:szCs w:val="16"/>
          <w:color w:val="auto"/>
        </w:rPr>
      </w:pPr>
    </w:p>
    <w:p>
      <w:pPr>
        <w:ind w:left="1320" w:hanging="538"/>
        <w:spacing w:after="0" w:line="306"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there is significant opportunity to continue to expand the use of our platform outside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both the fiscal year ended January 31, 2017 and the six months ended July 31, 2017, total revenue generated outside of the United States was 35% of our total revenue. We intend to continue to expand our sales and drive adoption of our platform globally.</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1"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Investing in our Class A common stock involves risk. You should carefully consider all the information in this prospectus prior to investing in our Class A common stock. These risks are discussed more fully in the section entitled "Risk Factors" immediately following this prospectus summary. These risks and uncertainties include, but are not limited to, the following:</w:t>
      </w:r>
    </w:p>
    <w:p>
      <w:pPr>
        <w:spacing w:after="0" w:line="208"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a history of losses, and as our costs increase, we may not be able to generate sufficient revenue to achieve or sustain profitability.</w:t>
      </w:r>
    </w:p>
    <w:p>
      <w:pPr>
        <w:spacing w:after="0" w:line="286" w:lineRule="exact"/>
        <w:rPr>
          <w:rFonts w:ascii="Arial" w:cs="Arial" w:eastAsia="Arial" w:hAnsi="Arial"/>
          <w:sz w:val="15"/>
          <w:szCs w:val="15"/>
          <w:color w:val="auto"/>
        </w:rPr>
      </w:pPr>
    </w:p>
    <w:p>
      <w:pPr>
        <w:ind w:left="1320" w:right="1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face significant competition.</w:t>
      </w:r>
    </w:p>
    <w:p>
      <w:pPr>
        <w:spacing w:after="0" w:line="238" w:lineRule="exact"/>
        <w:rPr>
          <w:rFonts w:ascii="Arial" w:cs="Arial" w:eastAsia="Arial" w:hAnsi="Arial"/>
          <w:sz w:val="18"/>
          <w:szCs w:val="18"/>
          <w:color w:val="auto"/>
        </w:rPr>
      </w:pPr>
    </w:p>
    <w:p>
      <w:pPr>
        <w:ind w:left="1320" w:right="4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212" w:lineRule="exact"/>
        <w:rPr>
          <w:rFonts w:ascii="Arial" w:cs="Arial" w:eastAsia="Arial" w:hAnsi="Arial"/>
          <w:sz w:val="18"/>
          <w:szCs w:val="18"/>
          <w:color w:val="auto"/>
        </w:rPr>
      </w:pPr>
    </w:p>
    <w:p>
      <w:pPr>
        <w:ind w:left="1320" w:right="1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adoption strategies include offering Community Server and a free tier MongoDB Atlas, and we may not be able to realize the benefits of these strategies.</w:t>
      </w:r>
    </w:p>
    <w:p>
      <w:pPr>
        <w:spacing w:after="0" w:line="199" w:lineRule="exact"/>
        <w:rPr>
          <w:rFonts w:ascii="Arial" w:cs="Arial" w:eastAsia="Arial" w:hAnsi="Arial"/>
          <w:sz w:val="18"/>
          <w:szCs w:val="18"/>
          <w:color w:val="auto"/>
        </w:rPr>
      </w:pPr>
    </w:p>
    <w:p>
      <w:pPr>
        <w:ind w:left="1320" w:right="1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199"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and other open source licenses under which some of our software is licensed are not enforceable.</w:t>
      </w:r>
    </w:p>
    <w:p>
      <w:pPr>
        <w:spacing w:after="0" w:line="212"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offer Community Server under an open source license, which could negatively affect our ability to monetize and protect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250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725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199" w:lineRule="exact"/>
        <w:rPr>
          <w:rFonts w:ascii="Arial" w:cs="Arial" w:eastAsia="Arial" w:hAnsi="Arial"/>
          <w:sz w:val="18"/>
          <w:szCs w:val="18"/>
          <w:color w:val="auto"/>
        </w:rPr>
      </w:pPr>
    </w:p>
    <w:p>
      <w:pPr>
        <w:ind w:left="1320" w:right="16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52" w:lineRule="exact"/>
        <w:rPr>
          <w:rFonts w:ascii="Arial" w:cs="Arial" w:eastAsia="Arial" w:hAnsi="Arial"/>
          <w:sz w:val="16"/>
          <w:szCs w:val="16"/>
          <w:color w:val="auto"/>
        </w:rPr>
      </w:pPr>
    </w:p>
    <w:p>
      <w:pPr>
        <w:ind w:left="1320" w:right="100" w:hanging="538"/>
        <w:spacing w:after="0" w:line="286"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w:t>
      </w:r>
    </w:p>
    <w:p>
      <w:pPr>
        <w:ind w:left="1320"/>
        <w:spacing w:after="0"/>
        <w:rPr>
          <w:sz w:val="20"/>
          <w:szCs w:val="20"/>
          <w:color w:val="auto"/>
        </w:rPr>
      </w:pPr>
      <w:r>
        <w:rPr>
          <w:rFonts w:ascii="Arial" w:cs="Arial" w:eastAsia="Arial" w:hAnsi="Arial"/>
          <w:sz w:val="16"/>
          <w:szCs w:val="16"/>
          <w:color w:val="auto"/>
        </w:rPr>
        <w:t>your ability to influence the outcome of important transactions, including a change of control. Specifically, outstanding shares of Class B</w:t>
      </w:r>
    </w:p>
    <w:p>
      <w:pPr>
        <w:sectPr>
          <w:pgSz w:w="11900" w:h="16838" w:orient="portrait"/>
          <w:cols w:equalWidth="0" w:num="1">
            <w:col w:w="11180"/>
          </w:cols>
          <w:pgMar w:left="240" w:top="131" w:right="479" w:bottom="1440" w:gutter="0" w:footer="0" w:header="0"/>
        </w:sectPr>
      </w:pPr>
    </w:p>
    <w:p>
      <w:pPr>
        <w:spacing w:after="0" w:line="32" w:lineRule="exact"/>
        <w:rPr>
          <w:sz w:val="20"/>
          <w:szCs w:val="20"/>
          <w:color w:val="auto"/>
        </w:rPr>
      </w:pPr>
    </w:p>
    <w:p>
      <w:pPr>
        <w:ind w:left="1320" w:right="120"/>
        <w:spacing w:after="0" w:line="255" w:lineRule="auto"/>
        <w:rPr>
          <w:sz w:val="20"/>
          <w:szCs w:val="20"/>
          <w:color w:val="auto"/>
        </w:rPr>
      </w:pPr>
      <w:r>
        <w:rPr>
          <w:rFonts w:ascii="Arial" w:cs="Arial" w:eastAsia="Arial" w:hAnsi="Arial"/>
          <w:sz w:val="18"/>
          <w:szCs w:val="18"/>
          <w:color w:val="auto"/>
        </w:rPr>
        <w:t>common stock will represent approximately % of the voting power of our outstanding capital stock immediately following the closing of this offering, with our directors and executive officers and their affiliates holding approximately %, assuming in each case no exercise of the underwriters' over-allotment option.</w:t>
      </w:r>
    </w:p>
    <w:p>
      <w:pPr>
        <w:sectPr>
          <w:pgSz w:w="11900" w:h="16838" w:orient="portrait"/>
          <w:cols w:equalWidth="0" w:num="1">
            <w:col w:w="11180"/>
          </w:cols>
          <w:pgMar w:left="240" w:top="131" w:right="479" w:bottom="1440" w:gutter="0" w:footer="0" w:header="0"/>
          <w:type w:val="continuous"/>
        </w:sectPr>
      </w:pP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right="200" w:firstLine="351"/>
        <w:spacing w:after="0" w:line="294" w:lineRule="auto"/>
        <w:rPr>
          <w:sz w:val="20"/>
          <w:szCs w:val="20"/>
          <w:color w:val="auto"/>
        </w:rPr>
      </w:pPr>
      <w:r>
        <w:rPr>
          <w:rFonts w:ascii="Arial" w:cs="Arial" w:eastAsia="Arial" w:hAnsi="Arial"/>
          <w:sz w:val="16"/>
          <w:szCs w:val="16"/>
          <w:color w:val="auto"/>
        </w:rPr>
        <w:t>MongoDB, Inc. was incorporated under the laws of the State of Delaware in November 2007, under the name 10Gen, Inc. We changed our name to MongoDB, Inc. on August 27, 2013. Our principal executive offices are located at MongoDB, Inc., 229 W. 43rd Street, 5th Floor, New York, NY 10036. Our telephone number is 646-727-4092. Our website address is www.mongodb.com.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pacing w:after="0" w:line="170"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"MongoDB" and the MongoDB leaf logo, and other trademarks or service marks of MongoDB, Inc. appearing in this prospectus are the property of MongoDB,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221" w:lineRule="exact"/>
        <w:rPr>
          <w:sz w:val="20"/>
          <w:szCs w:val="20"/>
          <w:color w:val="auto"/>
        </w:rPr>
      </w:pPr>
    </w:p>
    <w:p>
      <w:pPr>
        <w:ind w:left="1320" w:right="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199" w:lineRule="exact"/>
        <w:rPr>
          <w:rFonts w:ascii="Arial" w:cs="Arial" w:eastAsia="Arial" w:hAnsi="Arial"/>
          <w:sz w:val="18"/>
          <w:szCs w:val="18"/>
          <w:color w:val="auto"/>
        </w:rPr>
      </w:pPr>
    </w:p>
    <w:p>
      <w:pPr>
        <w:ind w:left="1320" w:right="4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99" w:lineRule="exact"/>
        <w:rPr>
          <w:rFonts w:ascii="Arial" w:cs="Arial" w:eastAsia="Arial" w:hAnsi="Arial"/>
          <w:sz w:val="18"/>
          <w:szCs w:val="18"/>
          <w:color w:val="auto"/>
        </w:rPr>
      </w:pPr>
    </w:p>
    <w:p>
      <w:pPr>
        <w:ind w:left="1320" w:right="1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implementation of new or revised financial accounting standards until they would apply to private companies and from compliance with any new requirements adopted by the Public Company Accounting Oversight Board requiring mandatory audit firm rotation;</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requirement to seek nonbinding advisory votes on executive compensation or golden parachute arrangements.</w:t>
      </w:r>
    </w:p>
    <w:p>
      <w:pPr>
        <w:spacing w:after="0" w:line="225"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may take advantage of some or all these provisions until we are no longer an emerging growth company. We will remain an emerging growth company until the earlier to occur of (1) the last day of the fiscal year (a) following the fifth anniversary of the closing of this offering, (b) in which our annual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087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spacing w:after="0" w:line="306" w:lineRule="auto"/>
        <w:rPr>
          <w:sz w:val="20"/>
          <w:szCs w:val="20"/>
          <w:color w:val="auto"/>
        </w:rPr>
      </w:pPr>
      <w:r>
        <w:rPr>
          <w:rFonts w:ascii="Arial" w:cs="Arial" w:eastAsia="Arial" w:hAnsi="Arial"/>
          <w:sz w:val="16"/>
          <w:szCs w:val="16"/>
          <w:color w:val="auto"/>
        </w:rPr>
        <w:t>gross revenue is $1.07 billion or more, or (c) in which we are deemed to be a "large accelerated filer," under the rules of the U.S. Securities and Exchange Commission, or SEC, which means the market value of our equity securities that is held by non-affiliates exceeds $700 million as of the prior July 31st, and (2) the date on which we have issued more than $1.0 billion in non-convertible debt during the prior three-year period.</w:t>
      </w:r>
    </w:p>
    <w:p>
      <w:pPr>
        <w:spacing w:after="0" w:line="16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 Further, it is possible that some investors will find our Class A common stock less attractive as a result of these elections,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Class A common stock offered by us</w:t>
      </w:r>
    </w:p>
    <w:p>
      <w:pPr>
        <w:spacing w:after="0" w:line="225" w:lineRule="exact"/>
        <w:rPr>
          <w:sz w:val="20"/>
          <w:szCs w:val="20"/>
          <w:color w:val="auto"/>
        </w:rPr>
      </w:pPr>
    </w:p>
    <w:p>
      <w:pPr>
        <w:ind w:left="1340" w:right="100"/>
        <w:spacing w:after="0" w:line="501" w:lineRule="auto"/>
        <w:rPr>
          <w:sz w:val="20"/>
          <w:szCs w:val="20"/>
          <w:color w:val="auto"/>
        </w:rPr>
      </w:pPr>
      <w:r>
        <w:rPr>
          <w:rFonts w:ascii="Arial" w:cs="Arial" w:eastAsia="Arial" w:hAnsi="Arial"/>
          <w:sz w:val="18"/>
          <w:szCs w:val="18"/>
          <w:color w:val="auto"/>
        </w:rPr>
        <w:t>Class A common stock offered by the selling stockholders Total Class A common stock offered</w:t>
      </w:r>
    </w:p>
    <w:p>
      <w:pPr>
        <w:ind w:left="1340" w:right="40"/>
        <w:spacing w:after="0" w:line="563"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us</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the selling stockholders</w:t>
      </w:r>
    </w:p>
    <w:p>
      <w:pPr>
        <w:spacing w:after="0" w:line="186" w:lineRule="exact"/>
        <w:rPr>
          <w:sz w:val="20"/>
          <w:szCs w:val="20"/>
          <w:color w:val="auto"/>
        </w:rPr>
      </w:pPr>
    </w:p>
    <w:p>
      <w:pPr>
        <w:ind w:left="1520" w:right="400" w:hanging="179"/>
        <w:spacing w:after="0" w:line="268" w:lineRule="auto"/>
        <w:rPr>
          <w:sz w:val="20"/>
          <w:szCs w:val="20"/>
          <w:color w:val="auto"/>
        </w:rPr>
      </w:pPr>
      <w:r>
        <w:rPr>
          <w:rFonts w:ascii="Arial" w:cs="Arial" w:eastAsia="Arial" w:hAnsi="Arial"/>
          <w:sz w:val="18"/>
          <w:szCs w:val="18"/>
          <w:color w:val="auto"/>
        </w:rPr>
        <w:t>Total over-allotment option of Class A common stock offered</w:t>
      </w:r>
    </w:p>
    <w:p>
      <w:pPr>
        <w:spacing w:after="0" w:line="1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Class A common stock and Class B common stock are identical, except with respect to voting and conversion.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any time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 See the section titled "Description of Capital Stock" for additional information.</w:t>
      </w:r>
    </w:p>
    <w:p>
      <w:pPr>
        <w:spacing w:after="0" w:line="200" w:lineRule="exact"/>
        <w:rPr>
          <w:sz w:val="20"/>
          <w:szCs w:val="20"/>
          <w:color w:val="auto"/>
        </w:rPr>
      </w:pPr>
    </w:p>
    <w:p>
      <w:pPr>
        <w:sectPr>
          <w:pgSz w:w="11900" w:h="16838" w:orient="portrait"/>
          <w:cols w:equalWidth="0" w:num="2">
            <w:col w:w="5520" w:space="360"/>
            <w:col w:w="4339"/>
          </w:cols>
          <w:pgMar w:left="240" w:top="131"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73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Holders of our Class A common stock and Class 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will generally vote together as a single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class, unless otherwise required by law or our amended and</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restated certificate of incorporation. Immediately following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closing of this offering, our directors and executive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officers and their affiliates will beneficially own</w:t>
      </w:r>
    </w:p>
    <w:p>
      <w:pPr>
        <w:spacing w:after="0" w:line="9" w:lineRule="exact"/>
        <w:rPr>
          <w:sz w:val="20"/>
          <w:szCs w:val="20"/>
          <w:color w:val="auto"/>
        </w:rPr>
      </w:pPr>
    </w:p>
    <w:p>
      <w:pPr>
        <w:ind w:left="5880"/>
        <w:spacing w:after="0"/>
        <w:tabs>
          <w:tab w:leader="none" w:pos="74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the voting power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capital stock (assuming in each case no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exercise of the underwriters' over-allotment option)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 have the ability to control the outcome of matters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submitted to our stockholders for approval, including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election of our directors. See "Principal and Selling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Stockholders" and "Description of Capital Stock."</w:t>
      </w:r>
    </w:p>
    <w:p>
      <w:pPr>
        <w:sectPr>
          <w:pgSz w:w="11900" w:h="16838" w:orient="portrait"/>
          <w:cols w:equalWidth="0" w:num="1">
            <w:col w:w="11080"/>
          </w:cols>
          <w:pgMar w:left="240" w:top="131" w:right="579" w:bottom="1440" w:gutter="0" w:footer="0" w:header="0"/>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we will receive net proceeds of</w:t>
      </w:r>
    </w:p>
    <w:p>
      <w:pPr>
        <w:spacing w:after="0" w:line="1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(or approximately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if the underwriters exercise their over-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in full), assuming an initial public offering</w:t>
      </w:r>
    </w:p>
    <w:p>
      <w:pPr>
        <w:spacing w:after="0" w:line="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 the midpoint of the price range</w:t>
      </w:r>
    </w:p>
    <w:p>
      <w:pPr>
        <w:spacing w:after="0" w:line="9"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ind w:left="5880"/>
        <w:spacing w:after="0"/>
        <w:rPr>
          <w:sz w:val="20"/>
          <w:szCs w:val="20"/>
          <w:color w:val="auto"/>
        </w:rPr>
      </w:pPr>
      <w:r>
        <w:rPr>
          <w:rFonts w:ascii="Arial" w:cs="Arial" w:eastAsia="Arial" w:hAnsi="Arial"/>
          <w:sz w:val="18"/>
          <w:szCs w:val="18"/>
          <w:color w:val="auto"/>
        </w:rPr>
        <w:t>set forth on the cover page of this prospectus, after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deducting estimated underwriter discounts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commissions and estimated offering expenses payable by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us. The principal purposes of this offering are to increase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our financial flexibility, create a public market for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and facilitate our future access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capital markets.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currently intend to use the net proceeds of this offering</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for working capital and other general corporate purposes.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may use a portion of the proceeds from this offering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acquisitions or strategic investments in businesses 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technologies, although we do not currently have any plans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any such acquisitions or investments. We will not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receive any of the proceeds from the sale of shares to be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offered by the selling stockholders. See "Use of Proceeds"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additional information.</w:t>
      </w:r>
    </w:p>
    <w:p>
      <w:pPr>
        <w:sectPr>
          <w:pgSz w:w="11900" w:h="16838" w:orient="portrait"/>
          <w:cols w:equalWidth="0" w:num="1">
            <w:col w:w="11080"/>
          </w:cols>
          <w:pgMar w:left="240" w:top="131" w:right="579" w:bottom="1440" w:gutter="0" w:footer="0" w:header="0"/>
          <w:type w:val="continuous"/>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and the other information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for a discussion of factors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carefully consider before deciding to invest in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spacing w:after="0" w:line="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"MDB"</w:t>
      </w:r>
    </w:p>
    <w:p>
      <w:pPr>
        <w:spacing w:after="0" w:line="200" w:lineRule="exact"/>
        <w:rPr>
          <w:sz w:val="20"/>
          <w:szCs w:val="20"/>
          <w:color w:val="auto"/>
        </w:rPr>
      </w:pPr>
    </w:p>
    <w:p>
      <w:pPr>
        <w:sectPr>
          <w:pgSz w:w="11900" w:h="16838" w:orient="portrait"/>
          <w:cols w:equalWidth="0" w:num="3">
            <w:col w:w="2000" w:space="340"/>
            <w:col w:w="2820" w:space="720"/>
            <w:col w:w="5200"/>
          </w:cols>
          <w:pgMar w:left="240" w:top="131" w:right="579" w:bottom="1440" w:gutter="0" w:footer="0" w:header="0"/>
          <w:type w:val="continuous"/>
        </w:sectPr>
      </w:pPr>
    </w:p>
    <w:p>
      <w:pPr>
        <w:spacing w:after="0" w:line="25"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136,400 shares of Class A common stock and 81,800,522 shares of Class B common stock outstanding as of July 31, 2017, and excludes:</w:t>
      </w:r>
    </w:p>
    <w:p>
      <w:pPr>
        <w:spacing w:after="0" w:line="166" w:lineRule="exact"/>
        <w:rPr>
          <w:sz w:val="20"/>
          <w:szCs w:val="20"/>
          <w:color w:val="auto"/>
        </w:rPr>
      </w:pPr>
    </w:p>
    <w:p>
      <w:pPr>
        <w:ind w:left="1320" w:right="200" w:hanging="538"/>
        <w:spacing w:after="0" w:line="33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5,836,950 shares of Class A common stock and 19,028,377 shares of Class B common stock, in each case, issuable upon the exercise of options outstanding as of July 31, 2017, at a weighted-average exercise price of $4.47 and $3.21 per share, respectively;</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683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6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247,205 shares of Class B common stock issuable upon the exercise of warrants outstanding as of July 31, 2017, at a weighted-average exercise price of $2.94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320" w:right="28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52"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w:t>
      </w:r>
      <w:r>
        <w:rPr>
          <w:rFonts w:ascii="Arial" w:cs="Arial" w:eastAsia="Arial" w:hAnsi="Arial"/>
          <w:sz w:val="16"/>
          <w:szCs w:val="16"/>
          <w:color w:val="auto"/>
        </w:rPr>
        <w:t>stock split of our common stock to be effected prior to the closing of this offering;</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redeemable convertible preferred stock into an aggregate of 53,905,795 shares of our Class B common stock immediately prior to the closing of this offering;</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options or warrants after July 31, 2017;</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additional shares of our Class A common stock; and</w:t>
      </w:r>
    </w:p>
    <w:p>
      <w:pPr>
        <w:spacing w:after="0" w:line="261" w:lineRule="exact"/>
        <w:rPr>
          <w:rFonts w:ascii="Arial" w:cs="Arial" w:eastAsia="Arial" w:hAnsi="Arial"/>
          <w:sz w:val="16"/>
          <w:szCs w:val="16"/>
          <w:color w:val="auto"/>
        </w:rPr>
      </w:pPr>
    </w:p>
    <w:p>
      <w:pPr>
        <w:ind w:left="1320" w:right="4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right="320" w:firstLine="348"/>
        <w:spacing w:after="0" w:line="312" w:lineRule="auto"/>
        <w:rPr>
          <w:sz w:val="20"/>
          <w:szCs w:val="20"/>
          <w:color w:val="auto"/>
        </w:rPr>
      </w:pPr>
      <w:r>
        <w:rPr>
          <w:rFonts w:ascii="Arial" w:cs="Arial" w:eastAsia="Arial" w:hAnsi="Arial"/>
          <w:sz w:val="15"/>
          <w:szCs w:val="15"/>
          <w:color w:val="auto"/>
        </w:rPr>
        <w:t>We derived the summary consolidated statements of operations data for the fiscal years ended January 31, 2016 and 2017 from our audited consolidated financial statements included elsewhere in this prospectus. We derived the summary consolidated statements of operations data for the six months ended July 31, 2016 and 2017 and the summary consolidated balance sheet data as of July 31,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summary consolidated statement of operations data for the fiscal year ended January 31, 2015 from our audited consolidated financial statements not included in this prospectus. Our fiscal year ends January 31.</w:t>
      </w:r>
    </w:p>
    <w:p>
      <w:pPr>
        <w:spacing w:after="0" w:line="159" w:lineRule="exact"/>
        <w:rPr>
          <w:sz w:val="20"/>
          <w:szCs w:val="20"/>
          <w:color w:val="auto"/>
        </w:rPr>
      </w:pPr>
    </w:p>
    <w:p>
      <w:pPr>
        <w:ind w:left="240" w:right="280" w:firstLine="351"/>
        <w:spacing w:after="0" w:line="255"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and the results for the six months ended July 31, 2017 are not necessarily indicative of the results to be expected for the full year or any other period. When you read this summary consolidated financial data, it is important that you read it together with the historical consolidated financial statements and the related notes included elsewhere in this prospectus, as well as the sections of this prospectus titled "Selected Consolidated Financial Data" and "Management's Discussion and Analysis of Financial Condition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ind w:left="740"/>
              <w:spacing w:after="0"/>
              <w:rPr>
                <w:sz w:val="20"/>
                <w:szCs w:val="20"/>
                <w:color w:val="auto"/>
              </w:rPr>
            </w:pPr>
            <w:r>
              <w:rPr>
                <w:rFonts w:ascii="Arial" w:cs="Arial" w:eastAsia="Arial" w:hAnsi="Arial"/>
                <w:sz w:val="14"/>
                <w:szCs w:val="14"/>
                <w:b w:val="1"/>
                <w:bCs w:val="1"/>
                <w:color w:val="auto"/>
                <w:w w:val="99"/>
              </w:rPr>
              <w:t>Year Ended January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July 31,</w:t>
            </w: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91,235</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40,213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61,718</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10,123</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4,906</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6,272</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101,358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45,119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67,990</w:t>
            </w: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19,352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13,765</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7,715</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10,515</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5,628</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5,622</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29,867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19,387</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44,410</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30,816</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48,603</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52,072</w:t>
            </w: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56,613</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78,584</w:t>
            </w:r>
          </w:p>
        </w:tc>
        <w:tc>
          <w:tcPr>
            <w:tcW w:w="2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37,454</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49,037</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33,316</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43,465</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51,772</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25,240</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28,826</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17,070</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27,082</w:t>
            </w:r>
          </w:p>
        </w:tc>
        <w:tc>
          <w:tcPr>
            <w:tcW w:w="2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13,531</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16,704</w:t>
            </w:r>
          </w:p>
        </w:tc>
        <w:tc>
          <w:tcPr>
            <w:tcW w:w="136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117,148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157,438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76,225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94,567</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(45,964)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360" w:type="dxa"/>
            <w:vAlign w:val="bottom"/>
          </w:tcPr>
          <w:p>
            <w:pPr>
              <w:spacing w:after="0"/>
              <w:rPr>
                <w:sz w:val="18"/>
                <w:szCs w:val="18"/>
                <w:color w:val="auto"/>
              </w:rPr>
            </w:pPr>
          </w:p>
        </w:tc>
      </w:tr>
      <w:tr>
        <w:trPr>
          <w:trHeight w:val="201"/>
        </w:trPr>
        <w:tc>
          <w:tcPr>
            <w:tcW w:w="134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Loss before provision for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(76,375)</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(73,044)</w:t>
            </w:r>
          </w:p>
        </w:tc>
        <w:tc>
          <w:tcPr>
            <w:tcW w:w="22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(85,962)</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(45,176)</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(45,288)</w:t>
            </w:r>
          </w:p>
        </w:tc>
        <w:tc>
          <w:tcPr>
            <w:tcW w:w="136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(45,769)</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3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3"/>
        </w:trPr>
        <w:tc>
          <w:tcPr>
            <w:tcW w:w="1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427"/>
        </w:trPr>
        <w:tc>
          <w:tcPr>
            <w:tcW w:w="1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7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89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1890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gridSpan w:val="5"/>
          </w:tcPr>
          <w:p>
            <w:pPr>
              <w:jc w:val="center"/>
              <w:ind w:left="766"/>
              <w:spacing w:after="0"/>
              <w:rPr>
                <w:sz w:val="20"/>
                <w:szCs w:val="20"/>
                <w:color w:val="auto"/>
              </w:rPr>
            </w:pPr>
            <w:r>
              <w:rPr>
                <w:rFonts w:ascii="Arial" w:cs="Arial" w:eastAsia="Arial" w:hAnsi="Arial"/>
                <w:sz w:val="14"/>
                <w:szCs w:val="14"/>
                <w:b w:val="1"/>
                <w:bCs w:val="1"/>
                <w:color w:val="auto"/>
                <w:w w:val="88"/>
              </w:rPr>
              <w:t>Year Ended January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ind w:left="320"/>
              <w:spacing w:after="0"/>
              <w:rPr>
                <w:sz w:val="20"/>
                <w:szCs w:val="20"/>
                <w:color w:val="auto"/>
              </w:rPr>
            </w:pPr>
            <w:r>
              <w:rPr>
                <w:rFonts w:ascii="Arial" w:cs="Arial" w:eastAsia="Arial" w:hAnsi="Arial"/>
                <w:sz w:val="12"/>
                <w:szCs w:val="12"/>
                <w:b w:val="1"/>
                <w:bCs w:val="1"/>
                <w:color w:val="auto"/>
                <w:w w:val="80"/>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net loss per share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21,268,067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22,481,535</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24,423,623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23,526,487</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26,772,495</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
              <w:spacing w:after="0"/>
              <w:rPr>
                <w:sz w:val="20"/>
                <w:szCs w:val="20"/>
                <w:color w:val="auto"/>
              </w:rPr>
            </w:pPr>
            <w:r>
              <w:rPr>
                <w:rFonts w:ascii="Arial" w:cs="Arial" w:eastAsia="Arial" w:hAnsi="Arial"/>
                <w:sz w:val="18"/>
                <w:szCs w:val="18"/>
                <w:color w:val="auto"/>
              </w:rPr>
              <w:t>(1.14)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pro forma net loss per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76,136,260</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80,592,714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January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Ended July 31,</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5,099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12,283</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1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352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43522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As of July 31, 2017</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23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4"/>
                <w:szCs w:val="14"/>
                <w:b w:val="1"/>
                <w:bCs w:val="1"/>
                <w:color w:val="auto"/>
                <w:w w:val="98"/>
              </w:rPr>
              <w:t>Pro forma as</w:t>
            </w:r>
          </w:p>
        </w:tc>
        <w:tc>
          <w:tcPr>
            <w:tcW w:w="160" w:type="dxa"/>
            <w:vAlign w:val="bottom"/>
          </w:tcPr>
          <w:p>
            <w:pPr>
              <w:spacing w:after="0"/>
              <w:rPr>
                <w:sz w:val="10"/>
                <w:szCs w:val="10"/>
                <w:color w:val="auto"/>
              </w:rPr>
            </w:pPr>
          </w:p>
        </w:tc>
      </w:tr>
      <w:tr>
        <w:trPr>
          <w:trHeight w:val="193"/>
        </w:trPr>
        <w:tc>
          <w:tcPr>
            <w:tcW w:w="2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0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5"/>
              </w:rPr>
              <w:t>Pro forma</w:t>
            </w:r>
            <w:r>
              <w:rPr>
                <w:rFonts w:ascii="Arial" w:cs="Arial" w:eastAsia="Arial" w:hAnsi="Arial"/>
                <w:sz w:val="22"/>
                <w:szCs w:val="22"/>
                <w:b w:val="1"/>
                <w:bCs w:val="1"/>
                <w:color w:val="auto"/>
                <w:w w:val="85"/>
                <w:vertAlign w:val="superscript"/>
              </w:rPr>
              <w:t>(1)</w:t>
            </w:r>
          </w:p>
        </w:tc>
        <w:tc>
          <w:tcPr>
            <w:tcW w:w="1160" w:type="dxa"/>
            <w:vAlign w:val="bottom"/>
            <w:gridSpan w:val="2"/>
          </w:tcPr>
          <w:p>
            <w:pPr>
              <w:ind w:left="120"/>
              <w:spacing w:after="0" w:line="193"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2"/>
                <w:szCs w:val="22"/>
                <w:b w:val="1"/>
                <w:bCs w:val="1"/>
                <w:color w:val="auto"/>
                <w:vertAlign w:val="superscript"/>
              </w:rPr>
              <w:t>(2)(3)</w:t>
            </w: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92,451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92,451</w:t>
            </w:r>
          </w:p>
        </w:tc>
        <w:tc>
          <w:tcPr>
            <w:tcW w:w="1000" w:type="dxa"/>
            <w:vAlign w:val="bottom"/>
          </w:tcPr>
          <w:p>
            <w:pPr>
              <w:jc w:val="right"/>
              <w:ind w:right="82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29,347</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29,347</w:t>
            </w: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157,916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157,916</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105,266</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Long-term debt, current and non-current, net of debt issuance costs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346,428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(393,170)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(393,170)</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(318,197)</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28,232</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880" w:hanging="544"/>
        <w:spacing w:after="0" w:line="230" w:lineRule="auto"/>
        <w:tabs>
          <w:tab w:leader="none" w:pos="18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Pro forma consolidated balance sheet data reflects (a) the conversion of all outstanding shares of redeemable convertible preferred stock into Class B common stock as if such conversion had occurred on July 31, 2017; (b) the reclassification of our redeemable convertible preferred stock warrant liability to stockholders' equity in connection with the expiration of our outstanding redeemable convertible preferred stock warrants; and (c) the filing of our amended and restated certificate of incorporation, each of which will occur immediately prior to the completion of this offering.</w:t>
      </w:r>
    </w:p>
    <w:p>
      <w:pPr>
        <w:spacing w:after="0" w:line="10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64"/>
              <w:spacing w:after="0"/>
              <w:rPr>
                <w:sz w:val="20"/>
                <w:szCs w:val="20"/>
                <w:color w:val="auto"/>
              </w:rPr>
            </w:pPr>
            <w:r>
              <w:rPr>
                <w:rFonts w:ascii="Arial" w:cs="Arial" w:eastAsia="Arial" w:hAnsi="Arial"/>
                <w:sz w:val="11"/>
                <w:szCs w:val="11"/>
                <w:color w:val="auto"/>
                <w:w w:val="74"/>
              </w:rPr>
              <w:t>(2)</w:t>
            </w: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w w:val="88"/>
              </w:rPr>
              <w:t>Pro forma as adjusted consolidated balance sheet data reflects the pro forma items described immediately above and our sale of</w:t>
            </w:r>
          </w:p>
        </w:tc>
        <w:tc>
          <w:tcPr>
            <w:tcW w:w="2100" w:type="dxa"/>
            <w:vAlign w:val="bottom"/>
          </w:tcPr>
          <w:p>
            <w:pPr>
              <w:ind w:left="200"/>
              <w:spacing w:after="0"/>
              <w:rPr>
                <w:sz w:val="20"/>
                <w:szCs w:val="20"/>
                <w:color w:val="auto"/>
              </w:rPr>
            </w:pPr>
            <w:r>
              <w:rPr>
                <w:rFonts w:ascii="Arial" w:cs="Arial" w:eastAsia="Arial" w:hAnsi="Arial"/>
                <w:sz w:val="14"/>
                <w:szCs w:val="14"/>
                <w:color w:val="auto"/>
                <w:w w:val="85"/>
              </w:rPr>
              <w:t>shares of Class A common stock in</w:t>
            </w:r>
          </w:p>
        </w:tc>
      </w:tr>
      <w:tr>
        <w:trPr>
          <w:trHeight w:val="149"/>
        </w:trPr>
        <w:tc>
          <w:tcPr>
            <w:tcW w:w="34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4"/>
              </w:rPr>
              <w:t>this offering at an assumed initial public offering price of $</w:t>
            </w:r>
          </w:p>
        </w:tc>
        <w:tc>
          <w:tcPr>
            <w:tcW w:w="58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6"/>
              </w:rPr>
              <w:t>per share, the midpoint of the price range set forth on the cover page of this prospectus, after deducting</w:t>
            </w:r>
          </w:p>
        </w:tc>
      </w:tr>
      <w:tr>
        <w:trPr>
          <w:trHeight w:val="172"/>
        </w:trPr>
        <w:tc>
          <w:tcPr>
            <w:tcW w:w="34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estimated underwriting discounts and commissions and estimated offering expenses payable by us.</w:t>
            </w:r>
          </w:p>
        </w:tc>
        <w:tc>
          <w:tcPr>
            <w:tcW w:w="2100" w:type="dxa"/>
            <w:vAlign w:val="bottom"/>
          </w:tcPr>
          <w:p>
            <w:pPr>
              <w:spacing w:after="0"/>
              <w:rPr>
                <w:sz w:val="14"/>
                <w:szCs w:val="14"/>
                <w:color w:val="auto"/>
              </w:rPr>
            </w:pPr>
          </w:p>
        </w:tc>
      </w:tr>
    </w:tbl>
    <w:p>
      <w:pPr>
        <w:spacing w:after="0" w:line="111" w:lineRule="exact"/>
        <w:rPr>
          <w:sz w:val="20"/>
          <w:szCs w:val="20"/>
          <w:color w:val="auto"/>
        </w:rPr>
      </w:pPr>
    </w:p>
    <w:p>
      <w:pPr>
        <w:ind w:left="1880" w:hanging="544"/>
        <w:spacing w:after="0"/>
        <w:tabs>
          <w:tab w:leader="none" w:pos="18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Pro forma as adjusted consolidated balance sheet data is illustrative only and will change based on the actual initial public offering price and other terms of this offering</w:t>
      </w:r>
    </w:p>
    <w:p>
      <w:pPr>
        <w:spacing w:after="0" w:line="23" w:lineRule="exact"/>
        <w:rPr>
          <w:sz w:val="20"/>
          <w:szCs w:val="20"/>
          <w:color w:val="auto"/>
        </w:rPr>
      </w:pPr>
    </w:p>
    <w:p>
      <w:pPr>
        <w:ind w:left="1880" w:right="140"/>
        <w:spacing w:after="0" w:line="258" w:lineRule="auto"/>
        <w:rPr>
          <w:sz w:val="20"/>
          <w:szCs w:val="20"/>
          <w:color w:val="auto"/>
        </w:rPr>
      </w:pPr>
      <w:r>
        <w:rPr>
          <w:rFonts w:ascii="Arial" w:cs="Arial" w:eastAsia="Arial" w:hAnsi="Arial"/>
          <w:sz w:val="12"/>
          <w:szCs w:val="12"/>
          <w:color w:val="auto"/>
        </w:rPr>
        <w:t>determined at pricing. Each $1.00 increase or decrease in the assumed initial public offering price of $ per share, the midpoint of the price range set forth on the cover page of this prospectus, would increase or decrease pro forma as adjusted cash, cash equivalents and short-term investments, working capital, total assets and total</w:t>
      </w:r>
    </w:p>
    <w:p>
      <w:pPr>
        <w:ind w:left="1880" w:right="100"/>
        <w:spacing w:after="0" w:line="265" w:lineRule="auto"/>
        <w:rPr>
          <w:sz w:val="20"/>
          <w:szCs w:val="20"/>
          <w:color w:val="auto"/>
        </w:rPr>
      </w:pPr>
      <w:r>
        <w:rPr>
          <w:rFonts w:ascii="Arial" w:cs="Arial" w:eastAsia="Arial" w:hAnsi="Arial"/>
          <w:sz w:val="12"/>
          <w:szCs w:val="12"/>
          <w:color w:val="auto"/>
        </w:rPr>
        <w:t>stockholders' equity by 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cash equivalents and short-term investments, working</w:t>
      </w:r>
    </w:p>
    <w:p>
      <w:pPr>
        <w:sectPr>
          <w:pgSz w:w="11900" w:h="16838" w:orient="portrait"/>
          <w:cols w:equalWidth="0" w:num="1">
            <w:col w:w="11120"/>
          </w:cols>
          <w:pgMar w:left="240" w:top="131" w:right="539" w:bottom="1440" w:gutter="0" w:footer="0" w:header="0"/>
        </w:sectPr>
      </w:pPr>
    </w:p>
    <w:p>
      <w:pPr>
        <w:ind w:left="1880" w:right="120"/>
        <w:spacing w:after="0" w:line="221" w:lineRule="auto"/>
        <w:rPr>
          <w:sz w:val="20"/>
          <w:szCs w:val="20"/>
          <w:color w:val="auto"/>
        </w:rPr>
      </w:pPr>
      <w:r>
        <w:rPr>
          <w:rFonts w:ascii="Arial" w:cs="Arial" w:eastAsia="Arial" w:hAnsi="Arial"/>
          <w:sz w:val="14"/>
          <w:szCs w:val="14"/>
          <w:color w:val="auto"/>
        </w:rPr>
        <w:t>capital, total assets and total stockholders' equity by approximately $ million, assuming that the assumed initial offering price to the public remains the same, and after deducting estimated underwriting discounts and commissions.</w:t>
      </w:r>
    </w:p>
    <w:p>
      <w:pPr>
        <w:sectPr>
          <w:pgSz w:w="11900" w:h="16838" w:orient="portrait"/>
          <w:cols w:equalWidth="0" w:num="1">
            <w:col w:w="11120"/>
          </w:cols>
          <w:pgMar w:left="240" w:top="131" w:right="539" w:bottom="1440" w:gutter="0" w:footer="0" w:header="0"/>
          <w:type w:val="continuous"/>
        </w:sectPr>
      </w:pPr>
    </w:p>
    <w:p>
      <w:pPr>
        <w:spacing w:after="0" w:line="112" w:lineRule="exact"/>
        <w:rPr>
          <w:sz w:val="20"/>
          <w:szCs w:val="20"/>
          <w:color w:val="auto"/>
        </w:rPr>
      </w:pPr>
    </w:p>
    <w:p>
      <w:pPr>
        <w:ind w:left="1880" w:right="20" w:hanging="544"/>
        <w:spacing w:after="0" w:line="239" w:lineRule="auto"/>
        <w:tabs>
          <w:tab w:leader="none" w:pos="18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Class A common stock. Any of the following risks could have an adverse effect on our business, results of operations, financial condition and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demand for our subscription offerings and related services, reduced conversion of our open source users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248"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incurred net losses in each period since our inception, including net losses of $73.5 million, $86.7 million and $45.8 million for fiscal years 2016 and 2017 and the six months ended July 31, 2017, respectively. We had an accumulated deficit of $393.2 million as of July 31, 2017. We expect our operating expenses to increase significantly as we increase our sales and marketing efforts, continue to invest in research and development, and expand our operations and infrastructure, both domestically and internationally. In addition, we expect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volume, variety and velocity that data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databases, including ours. The principal competitive factors in our market include: mindshare with software developers and IT executives; product capabilities, including flexibility, scalability, performance, security and reliability; flexible deployment model, including in the cloud, on-premise or in a hybrid environment;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72"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primarily compete with legacy relational database software providers such as IBM, Microsoft, Oracle and other similar companies. We also compete with non-relational database software providers and certain cloud providers such as Amazon Web Services, or AWS, Google Cloud Platform, or GCP, and Microsoft Azure. In addition, other large software and internet companies may seek to enter our market.</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become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introduced MongoDB Atlas in June 2016. We have less experience marketing, determining pricing for and selling MongoDB Atlas, and we are still determining how to best market, price and support adoption of this offering. We have directed, and intend to continue to direct, a significant portion of our financial and operating resources to develop and grow MongoDB Atlas, including introducing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could be negatively impacted if the GNU Affero General Public License Version 3 and other open source licenses under which some of our software is licensed are not enforceable.</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latest release of Community Server is licensed under the GNU Affero General Public License version 3, or the AGPL. This license states that any program licensed under it may be copied, modified and distributed provided certain conditions are met. It is possible that a court would hold this license to be unenforceable. If a court held this license or certain aspects of this license to be unenforceable, others may be able to use our software to compete with us in the marketplace in a manner not subject to the restrictions set forth in the AGPL.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offer Community Server under an open source license, which could negatively affect our ability to monetize and protect our intellectual property rights.</w:t>
      </w:r>
    </w:p>
    <w:p>
      <w:pPr>
        <w:spacing w:after="0" w:line="26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make our Community Server offering available under the AGPL. Community Server is a free-to-download version of our database that includes the core functionality developers need to get started with MongoDB but not all of the features of our commercial platform. The AGPL grants licensees broad freedom to view, use, copy, modify and redistribute the source code of Community Server. Some commercial enterprises consider AGPL-licensed software to be unsuitable for commercial use because of its "copyleft" requirement that further distribution of AGPL-licensed software and modifications or adaptations to that software must be made available pursuant to the AGPL as well. However, some of those same commercial enterprises do not have the same concerns regarding using the software under the AGPL for internal purposes. Anyone can obtain a free copy of Community Server from the Internet, and we do not know who all of our AGPL licensees are. Competitors could develop modifications of our software to compete with us in the marketplace. We do not have visibility into how our software is being used by licensees, so our ability to detect violations of the AGPL is extremely limited.</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software incorporates third-party open source software, which could negatively affect our ability to sell our products and subject us to possible litigation.</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MongoDB Atlas and any other products, enhancements or developments depends on several factors: our anticipation of market changes and demands and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future success will depend in large part on our ability to service existing demand, as well as the continued growth and expansion of the database market. It is difficult to predict demand for our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and the value of your investment could decline substantially.</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subscriptions for our MongoDB Enterprise Advanced and MongoDB Atlas offerings and professional services, as such relative mix may impact our gross margins and operating income;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enforce our AGPL license;</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9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1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2016 and 2017 and the six months ended July 31, 2016 and 2017, our total revenue was $65.3 million and $101.4 million and $45.1 million and $68.0 million, respectively, representing a 55% and 51% growth rate, respectively. We have also significantly increased the size of our customer base from over 1,100 customers as of January 31, 2015 to over 4,300 customers as of July 31, 2017, and we grew from 383 employees as of January 31, 2015 to 820 employees as of July 31, 2017. We expect to continue to expand our operations and employee headcount in the near term. Our success will depend in part on our ability to continue to grow and to manage this growth, domestically and internationally, effectively.</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39"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11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We, or our service providers, may also suffer a 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third-party action, employee, vendor, or contractor error, malfeasance, phishing attacks, social engineering, or otherwise, loss of data may result,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or DoS, attacks, malware installation, server malfunction, software or hardware failures, loss of data or other computer assets, adware, or other similar issues) impairs the integrity or availability of our systems, or those of our service providers, by affecting our data, or reducing access to or shutting down one or more of our computing systems or our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third-party lawsuits, regulatory fines, actions, and investigations, or other actions or liability, thereby adversely affecting our financial results.</w:t>
      </w:r>
    </w:p>
    <w:p>
      <w:pPr>
        <w:spacing w:after="0" w:line="18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8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Community Server for free;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Given these factors, it is difficult to predict whether and when a sale will be completed, and when revenue from a sale will be recognized, particularly since we generally recognize revenue over the term of a subscription and in some cases, when our subscription offering is purchased with a service contract, we do not recognize revenue from the subscription until services are provided, which may result in lower than expected revenue in any given period, which would have an adverse effect on our business, results of operations and financial condition.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Community Server users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Even if we do attract new customers, the cost of new customer acquisition, product implementation and ongoing customer support may prove so high as to prevent us from achieving or sustaining profitability. For example, in fiscal years 2016 and 2017 and the six months ended July 31, 2017, total sales and marketing expense represented 87%, 78% and 72%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94"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subscription offerings are term-based and a majority of our subscription contracts were one year in duration in fiscal year 2017.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customers rely on our personnel for support of our software included in our MongoDB Enterprise Advanced, MongoDB Atlas and MongoDB Professional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or perceived errors, failures or bugs in our software could adversely affect our business, results of operations, financial condition, and growth prospects.</w:t>
      </w:r>
    </w:p>
    <w:p>
      <w:pPr>
        <w:spacing w:after="0" w:line="260"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and harm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impair our ability to attract new customers, retain existing customers or expand their use of our software, which would adversely affect our business, results of operations and financial condition.</w:t>
      </w:r>
    </w:p>
    <w:p>
      <w:pPr>
        <w:spacing w:after="0" w:line="16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Personal privacy has become a significant issue in the United States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or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December 2015, European Union, or EU, institutions reached agreement on a draft regulation that was formally adopted in April 2016, referred to as the General Data Protection Regulation, or GDPR. The GDPR updates and modernizes the principles of the 1995 EU Data Protection Directive.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GDPR significantly increases the level of sanctions for non-compliance from those in existing EU data protection law. EU data protection authorities will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are taking steps to cause our processes to be compliant with applicable portions of the GDPR, but we cannot assure you that such steps will be effective. The GDPR will be enforced beginning in May 2018.</w:t>
      </w:r>
    </w:p>
    <w:p>
      <w:pPr>
        <w:spacing w:after="0" w:line="17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86"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Market opportunity estimates and growth forecasts included in this prospectus are subject to significant uncertainty and are based on assumptions and estimates that may not prove to be accurate. Even if the market in which we compete meets the size estimates and growth forecasted in this prospectus, our business could fail to grow for a variety of reasons, which would adversely affect our results of operations. For more information regarding the estimates of market opportunity and the forecasts of market growth included in this prospectus, see the section titled "Industry and Market Data."</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success and ability to compete depend in part upon our intellectual property rights. As of July 31, 2017, we had eight issued patents and 43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 In addition, we regularly contribute source code under open source licenses and have made some of our own software available under open source licenses, and we include third-party open source software in our products. Because the source code for any software we contribute to open source projects or distribute under open source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8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since January 2017, industry publications have reported ransomware attacks on over 50,000 MongoDB instances.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meet our service level commitments, our business, results of operations and financial condition could be adversely affected.</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agreements with customers typically provide for service level commitments. Our MongoDB Professional and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1"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1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not be able to find adequate replacements. We cannot ensure that we will be able to retain the services of any members of our senior management or other key employees.</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maintain and enhance our brand, especially among developers, our business and operating results may be adversely affected.</w:t>
      </w:r>
    </w:p>
    <w:p>
      <w:pPr>
        <w:spacing w:after="0" w:line="248" w:lineRule="exact"/>
        <w:rPr>
          <w:sz w:val="20"/>
          <w:szCs w:val="20"/>
          <w:color w:val="auto"/>
        </w:rPr>
      </w:pPr>
    </w:p>
    <w:p>
      <w:pPr>
        <w:ind w:right="200" w:firstLine="348"/>
        <w:spacing w:after="0" w:line="253"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20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culture has been and will continue to be a key contributor to our success. From January 31, 2015 to July 31, 2017, we increased the size of our workforce by 437 employees, and we expect to continue to hire aggressively as we expand, especially sales and marketing personnel. If we do not continue to maintain our corporate culture as we grow, we may be unable to foster the innovation, creativity, and entrepreneurial spirit we believe we need to support our growth. Moreover, many of our existing employees may be able to receive significant proceeds from sales of our Class A common stock in the public markets after this offering, which could lead to employee attrition and disparities of wealth among our employees that adversely affects relations among employees and our culture in general. Our substantial anticipated headcount growth and our transition from a private company to a public company may result in a change to our corporate culture, which could harm our business.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depend and rely upon software-as-a-service, or SaaS, technologies from third parties to operate our business, and interruptions or performance problems with these technologies may adversely affect our business and results of operations.</w:t>
      </w:r>
    </w:p>
    <w:p>
      <w:pPr>
        <w:spacing w:after="0" w:line="186" w:lineRule="exact"/>
        <w:rPr>
          <w:sz w:val="20"/>
          <w:szCs w:val="20"/>
          <w:color w:val="auto"/>
        </w:rPr>
      </w:pPr>
    </w:p>
    <w:p>
      <w:pPr>
        <w:jc w:val="both"/>
        <w:ind w:right="300" w:firstLine="348"/>
        <w:spacing w:after="0" w:line="298"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impaired until equivalent services, if available, are identified, obtained and implemented, all of which could adversely affect our business.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may be costly to defend, could require us to pay significant damages and could limit our ability to use certain technologies.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w:t>
      </w:r>
    </w:p>
    <w:p>
      <w:pPr>
        <w:spacing w:after="0" w:line="167"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248"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software, services or other contractual obligations. Large indemnity payments could harm our business, results of operations and financial condition.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recognize a majority of our revenue over the term of our customer contracts. Consequently, increases or decreases in new sales may not be immediately reflected in our results of operations and may be difficult to discern.</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recognize subscription revenue from subscription customers ratably over the terms of their contracts. The majority of our subscription contracts were one year in duration in fiscal year 2017.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86"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In the fiscal years ended January 31, 2016 and 2017 and the six months ended July 31, 2017, total revenue generated from customers outside the United States was 31%, 35% and 35%, respectively, of our total revenue. We currently have international offices outside of North America throughout Europe, the Middle East and Africa, or EMEA, and the Asia-Pacific region, focusing primarily on selling our products and services in those regions. In the future, we may expand to other international locations. Our current international operations and future initiatives involve a variety of risks, including:</w:t>
      </w:r>
    </w:p>
    <w:p>
      <w:pPr>
        <w:spacing w:after="0" w:line="18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248"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6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39"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211" w:lineRule="exact"/>
        <w:rPr>
          <w:sz w:val="20"/>
          <w:szCs w:val="20"/>
          <w:color w:val="auto"/>
        </w:rPr>
      </w:pPr>
    </w:p>
    <w:p>
      <w:pPr>
        <w:ind w:left="1080" w:right="20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2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of 2002, or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 We will remain an "emerging growth company" until the earlier to occur of (1) the last day of the fiscal year (a) following the fifth anniversary of the closing of this offering, (b) in which our annual gross revenue is $1.07 billion or more, or (c) the date on which we have, during the previous rolling three-year period, issued more than $1 billion in non-convertible debt securities, and (2) we are deemed to be a "large accelerated filer" as defined in the Exchange Act. In addition, the JOBS Act also provides that an "emerging growth company" can take advantage of an extended transition period for complying with new or revised accounting standards. We have chosen to take advantage of such extended transition period, and as a result, we will not comply with new or revised accounting standards on the relevant dates on which adoption of such standards is required for non-emerging growth companies.</w:t>
      </w:r>
    </w:p>
    <w:p>
      <w:pPr>
        <w:spacing w:after="0" w:line="181"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and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subject to the U.S. Foreign Corrupt Practices Act of 1977, as amended, or FCPA, U.S. Travel Act, the U.K. Bribery Act, or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248"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Generally accepted accounting principles in the United States,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In particular, in May 2014, the FASB issued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We expect ASU 2014-09 to apply to us in fiscal year 2020.</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However, we are evaluating ASU 2014-09 and have not determined the impact it may have on our financial reporting. If, for example, we were required to recognize revenue differently with respect to our subscriptions, the differential revenue recognition may cause variability in our reported operating results due to periodic or long term changes in the mix among our subscription offerings.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funded our operations since inception primarily through equity financings and payments by our customers for use of our subscription offerings and related services. We cannot be certain when or if our operations will generate sufficient cash to fund our ongoing operations or the growth of our business.</w:t>
      </w:r>
    </w:p>
    <w:p>
      <w:pPr>
        <w:spacing w:after="0" w:line="139"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Potential tax reform in the United States may result in significant changes to United States federal income taxation law, including changes to the U.S. federal income taxation of corporations (including the Company) and/or changes to the U.S. federal income taxation of stockholders in U.S. corporations, including investors in our Class A common stock. We are currently unable to predict whether such changes will occur and, if so, the impact of such changes, including on the U.S. federal income tax considerations relating to the purchase, ownership and disposition of our Class A common stock, as discussed below in "Material U.S. Federal Income Tax Considerations for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January 31, 2017, we had net operating loss, or NOL, carryforwards for Federal, state and Irish income tax purposes of approximately $175.6 million, $138.6 million, and $119.3 million, respectively, which may be available to offset taxable income in the future, and which expire in various years beginning in the year ending January 31, 2028 for federal purposes and the year ending January 31, 2021 for state purposes if not utilized. Ireland allows NOLs to be carried forward indefinitely.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(including, potentially, in connection with this offering)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7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39"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operating results.</w:t>
      </w:r>
    </w:p>
    <w:p>
      <w:pPr>
        <w:spacing w:after="0" w:line="15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$289,238 or twice the value of the transaction, whichever is greater, per violation. In the event of criminal knowing and willful violations of these laws, fines of up to $1.0 million per violation and possible incarceration for responsible employees and managers could be imposed.</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corporate headquarters is located in New York, and we have an office in Palo Alto, California and in 27 other locations. A significant natural disaster or man-made problem, such as an earthquake, fire, flood or an act of terrorism, occurring in any of these locations, or where a business partner is located, could adversely affect our business, results of operations and financial condition. Further, if a natural disaster or man-made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2"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Initial Public Offering and Ownership of Our Class A Common Stock</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94"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Our Class B common stock has 10 votes per share, and our Class A common stock, which is the stock we are offering in this initial public offering, has one vote per share. Given the greater number of votes per share attributed to our Class B common stock, our existing stockholders holding shares of Class B common</w:t>
      </w:r>
    </w:p>
    <w:p>
      <w:pPr>
        <w:ind w:right="20"/>
        <w:spacing w:after="0" w:line="281" w:lineRule="auto"/>
        <w:rPr>
          <w:sz w:val="20"/>
          <w:szCs w:val="20"/>
          <w:color w:val="auto"/>
        </w:rPr>
      </w:pPr>
      <w:r>
        <w:rPr>
          <w:rFonts w:ascii="Arial" w:cs="Arial" w:eastAsia="Arial" w:hAnsi="Arial"/>
          <w:sz w:val="16"/>
          <w:szCs w:val="16"/>
          <w:color w:val="auto"/>
        </w:rPr>
        <w:t>stock will represent approximately % of the voting power of our outstanding capital stock and our directors, executive officers, and each of our stockholders who owns greater than five percent of our outstanding capital stock, will represent approximately % of the voting power of our outstanding capital stock,</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based on the number of shares outstanding as of July 31, 2017. This concentrated control will limit your ability to influence corporate matters for the foreseeable future. For example, our existing stockholders holding the Class B common stock will be able to control all matters submitted to our stockholders for approval even when the shares of Class B common stock represent a small minority of all outstanding shares of our Class A common stock and Class B common 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Kevin P. Ryan, Eliot Horowitz and Dwight Merriman represent approximately 20% of the voting power of our outstanding capital stock based on the number of shares outstanding as of July 31, 2017, and if they retain a significant portion of their holdings of our Class B common stock for an extended period of time, they could control a significant portion of the voting power of our capital stock for the foreseeable future. As board members,</w:t>
      </w:r>
    </w:p>
    <w:p>
      <w:pPr>
        <w:spacing w:after="0" w:line="1" w:lineRule="exact"/>
        <w:rPr>
          <w:sz w:val="20"/>
          <w:szCs w:val="20"/>
          <w:color w:val="auto"/>
        </w:rPr>
      </w:pPr>
    </w:p>
    <w:p>
      <w:pPr>
        <w:jc w:val="both"/>
        <w:ind w:right="180"/>
        <w:spacing w:after="0" w:line="331" w:lineRule="auto"/>
        <w:rPr>
          <w:sz w:val="20"/>
          <w:szCs w:val="20"/>
          <w:color w:val="auto"/>
        </w:rPr>
      </w:pPr>
      <w:r>
        <w:rPr>
          <w:rFonts w:ascii="Arial" w:cs="Arial" w:eastAsia="Arial" w:hAnsi="Arial"/>
          <w:sz w:val="15"/>
          <w:szCs w:val="15"/>
          <w:color w:val="auto"/>
        </w:rPr>
        <w:t>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 For a description of the dual class structure, see the section titled "Description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our stock price or our business.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this offering,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In July 2017, FTSE Russell announced that it plans to require new constituents of its indexes to have greater than 5% of the company's voting rights in the hands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public stockholders, and S&amp;P Dow Jones announced that it will no longer admit companies with multiple-class share structures to certain of its indexes. Because of our dual class structure, we will likely be excluded from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There has been no prior public trading market for our Class A common stock, and an active trading market may not develop or be sustained following this offering.</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intend to apply to list our Class A common stock on the under the symbol "MDB." However, there has been no prior public trading market for our Class A common stock. We cannot assure you that an active trading market for our Class A common stock will develop on such exchange or elsewhere or, if developed, that any market will be sustained. Accordingly, we cannot assure you of the liquidity of any trading market, your ability to sell your shares of our Class A common stock when desired or the prices that you may obtain for your shares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could be volatile, which could cause the value of your investment to decline.</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stock following this offering may fluctuate substantially. Following the completion of this offering, the market price of our Class A common stock may be higher or lower than the price you pay in the initial public offering, depending on many factors, some of which are beyond our control and may not be related to our operating performance. These fluctuations could cause you to lose all or part of your investment in our Class A common stock. Factors that could cause fluctuations in the trading price of our Class A common stock include the following:</w:t>
      </w:r>
    </w:p>
    <w:p>
      <w:pPr>
        <w:spacing w:after="0" w:line="210"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invest or spend the proceeds of this initial public offering in ways with which you may not agree or in ways which may not yield a return.</w:t>
      </w:r>
    </w:p>
    <w:p>
      <w:pPr>
        <w:spacing w:after="0" w:line="24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anticipate that the net proceeds from this initial public offering will be used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 We may also use a portion of the net proceeds of this offering for acquisitions or strategic investments in businesses or technologies. However, we do not have any agreements or commitments for any acquisitions or strategic investments at this time. Accordingly, our management will have broad discretion over the specific use of the net proceeds that we receive in this initial public offering and might not be able to obtain a significant return, if any, on investment of these net proceeds. Investors in this initial public offering will need to rely upon the judgment of our management with respect to the use of proceeds. The net proceeds may be invested with a view towards long-term benefits for our stockholders and this may not increase our operating results or market value. If we do not use the net proceeds that we receive in this initial public offering effectively, our business, results of operations and financial condition could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immediately experience substantial dilution in net tangible book value.</w:t>
      </w:r>
    </w:p>
    <w:p>
      <w:pPr>
        <w:spacing w:after="0" w:line="225"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common stock immediately following this initial public offering based on the total value of our tangible assets less our total liabilities. Therefore, if you purchase shares of</w:t>
      </w:r>
    </w:p>
    <w:p>
      <w:pPr>
        <w:jc w:val="both"/>
        <w:spacing w:after="0" w:line="255" w:lineRule="auto"/>
        <w:rPr>
          <w:sz w:val="20"/>
          <w:szCs w:val="20"/>
          <w:color w:val="auto"/>
        </w:rPr>
      </w:pPr>
      <w:r>
        <w:rPr>
          <w:rFonts w:ascii="Arial" w:cs="Arial" w:eastAsia="Arial" w:hAnsi="Arial"/>
          <w:sz w:val="18"/>
          <w:szCs w:val="18"/>
          <w:color w:val="auto"/>
        </w:rPr>
        <w:t>our Class A common stock in this initial public offering, you will experience immediate dilution of $ per share, the difference between the price per share you pay for our Class A common stock and the pro forma net tangible book value per share as of July 31, 2017, after giving effect to the issuance of shares of our Class A common stock in this offering. See the section titled "Dilution" below.</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could occur, could reduce the price that our Class A common stock might otherwise attain.</w:t>
      </w:r>
    </w:p>
    <w:p>
      <w:pPr>
        <w:spacing w:after="0" w:line="186" w:lineRule="exact"/>
        <w:rPr>
          <w:sz w:val="20"/>
          <w:szCs w:val="20"/>
          <w:color w:val="auto"/>
        </w:rPr>
      </w:pPr>
    </w:p>
    <w:p>
      <w:pPr>
        <w:ind w:right="200" w:firstLine="351"/>
        <w:spacing w:after="0" w:line="303" w:lineRule="auto"/>
        <w:rPr>
          <w:sz w:val="20"/>
          <w:szCs w:val="20"/>
          <w:color w:val="auto"/>
        </w:rPr>
      </w:pPr>
      <w:r>
        <w:rPr>
          <w:rFonts w:ascii="Arial" w:cs="Arial" w:eastAsia="Arial" w:hAnsi="Arial"/>
          <w:sz w:val="15"/>
          <w:szCs w:val="15"/>
          <w:color w:val="auto"/>
        </w:rPr>
        <w:t>Sales of a substantial number of shares of our Class A common stock in the public market after this offering, or the perception that such sales could occur, could adversely affect the market price of our Class A common stock and may make it more difficult for you to sell your Class A common stock at a time and price that you deem appropriate. Based on the total number of outstanding shares of our capital stock as of July 31, 2017, upon completion of this initial public</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offering, we will have approximately shares of capital stock outstanding. All of the shares of Class A common stock sold in this initial public offering will be freely tradable without restrictions or further registration under the Securities Act of 1933, as amended, or the Securities Act, except for any shares held by our "affiliates" as defined in Rule 144 under the Securities Act.</w:t>
      </w:r>
    </w:p>
    <w:p>
      <w:pPr>
        <w:spacing w:after="0" w:line="198"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color w:val="auto"/>
        </w:rPr>
        <w:t>Subject to certain exceptions described in the section titled "Underwriting," we, our executive officers, directors and holders of a substantial majority of our common stock and securities convertible into or exchangeable for shares of our common stock have entered into or will enter into lock-up agreements with the underwriters of this offering under which we and they have agreed or will agree that, subject to certain exceptions, without the prior written consent of Morgan Stanley &amp; Co. LLC, Goldman Sachs &amp; Co. LLC and Barclays Capital Inc., we and they will not dispose of or hedge any shares or any securities convertible into or exchangeable for shares of our common stock for a period of 180 days after the date of this prospectus. In addition, our executive officers, directors and holders of substantially all of our common stock and securities convertible into or exchangeable for shares of our common stock have entered into market standoff agreements with us under which they have agreed that, subject to certain exceptions, without our consent, they will not dispose of or hedge any shares or any securities convertible into or exchangeable for shares of our common stock for a period of 180 days after the date of this prospectus. We will agree that, without the prior written consent of Morgan Stanley &amp; Co. LLC, Goldman Sachs &amp; Co. LLC and Barclays Capital Inc., we will not release any of the securities subject to these market standoff agreements. When the lock-up period in the lock-up agreements and market standoff agreements expires, we and our locked-up security holders will be able to sell our shares in the public market. In addition, Morgan Stanley &amp; Co. LLC, Goldman Sachs &amp; Co. LLC and Barclays</w:t>
      </w:r>
    </w:p>
    <w:p>
      <w:pPr>
        <w:spacing w:after="0" w:line="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Capital Inc., on behalf of the underwriters, may release all or some portion of the shares subject to the lock-up agreements or market standoff agreements prior to the expiration of the lock-up period. See the section titled "Shares Eligible for Future Sale" for more information. Sales of a substantial number of such shares, or the perception that such sales may occur, upon expiration of, or early release of the securities subject to, the lock-up agreements or market standoff agreements, could cause our stock price to fall or make it more difficult for you to sell your Class A common stock at a time and price that you deem appropriate.</w:t>
      </w:r>
    </w:p>
    <w:p>
      <w:pPr>
        <w:spacing w:after="0" w:line="16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Based on shares outstanding as of July 31, 2017, holders of up to approximately shares, or % of our capital stock after the completion of this offering, will have rights, subject to certain conditions, to require us to file registration statements covering the sale of their shares or to include their shares in registration statements that we may file for ourselves or other stockholders. We also intend to register the offer and sale of all shares of capital stock that we may issue under our equity compensation plans.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capital stock may cause stockholders to experience significant dilution of their ownership interests and the per share value of our Class A common stock to decline.</w:t>
      </w:r>
    </w:p>
    <w:p>
      <w:pPr>
        <w:spacing w:after="0" w:line="18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You should rely only on statements made in this prospectus in determining whether to purchase our stock in this initial public offering and not on information in public media that is published by third parties.</w:t>
      </w:r>
    </w:p>
    <w:p>
      <w:pPr>
        <w:spacing w:after="0" w:line="186"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You should carefully read and evaluate all the information in this prospectus. In the past, we have received, and may continue to receive, a high degree of media coverage. This includes coverage that is not attributable to statements made by our officers or employees or incorrectly reports on statements made by our officers or employees. In addition, coverage may be misleading if it omits information provided by us, our officers, or employees or public data. You should rely only on the information contained in this prospectus in determining whether to purchase our shares of Class A common stock.</w:t>
      </w:r>
    </w:p>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and, consequently, your ability to achieve a return on your investment will depend on appreciation in the price of our Class A common stock.</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you may only receive a return on your investment in our Class A common stock if the market price of our Class A common stock increases.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86" w:lineRule="exact"/>
        <w:rPr>
          <w:sz w:val="20"/>
          <w:szCs w:val="20"/>
          <w:color w:val="auto"/>
        </w:rPr>
      </w:pPr>
    </w:p>
    <w:p>
      <w:pPr>
        <w:ind w:right="120" w:firstLine="341"/>
        <w:spacing w:after="0" w:line="305"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w:t>
      </w:r>
    </w:p>
    <w:p>
      <w:pPr>
        <w:ind w:right="20"/>
        <w:spacing w:after="0" w:line="252" w:lineRule="auto"/>
        <w:rPr>
          <w:sz w:val="20"/>
          <w:szCs w:val="20"/>
          <w:color w:val="auto"/>
        </w:rPr>
      </w:pPr>
      <w:r>
        <w:rPr>
          <w:rFonts w:ascii="Arial" w:cs="Arial" w:eastAsia="Arial" w:hAnsi="Arial"/>
          <w:sz w:val="18"/>
          <w:szCs w:val="18"/>
          <w:color w:val="auto"/>
        </w:rPr>
        <w:t>of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202"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Delaware law and our corporate charter and bylaws will contain anti-takeover provisions that could delay or discourage takeover attempts that stockholders may consider favorable.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211" w:lineRule="exact"/>
        <w:rPr>
          <w:sz w:val="20"/>
          <w:szCs w:val="20"/>
          <w:color w:val="auto"/>
        </w:rPr>
      </w:pPr>
    </w:p>
    <w:p>
      <w:pPr>
        <w:ind w:left="1080" w:right="5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12"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2" w:lineRule="exact"/>
        <w:rPr>
          <w:rFonts w:ascii="Arial" w:cs="Arial" w:eastAsia="Arial" w:hAnsi="Arial"/>
          <w:sz w:val="16"/>
          <w:szCs w:val="16"/>
          <w:color w:val="auto"/>
        </w:rPr>
      </w:pPr>
    </w:p>
    <w:p>
      <w:pPr>
        <w:ind w:left="1080" w:right="8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2"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our chief executive officer or our president (in the absence of a chief executive officer), which could delay the ability of our stockholders to force consideration of a proposal or to take action, including the removal of directors;</w:t>
      </w:r>
    </w:p>
    <w:p>
      <w:pPr>
        <w:spacing w:after="0" w:line="208" w:lineRule="exact"/>
        <w:rPr>
          <w:rFonts w:ascii="Arial" w:cs="Arial" w:eastAsia="Arial" w:hAnsi="Arial"/>
          <w:sz w:val="18"/>
          <w:szCs w:val="18"/>
          <w:color w:val="auto"/>
        </w:rPr>
      </w:pPr>
    </w:p>
    <w:p>
      <w:pPr>
        <w:ind w:left="1080" w:right="140" w:hanging="532"/>
        <w:spacing w:after="0" w:line="223" w:lineRule="auto"/>
        <w:tabs>
          <w:tab w:leader="none" w:pos="108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the requirement for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25" w:lineRule="exact"/>
        <w:rPr>
          <w:rFonts w:ascii="Arial" w:cs="Arial" w:eastAsia="Arial" w:hAnsi="Arial"/>
          <w:sz w:val="34"/>
          <w:szCs w:val="34"/>
          <w:color w:val="auto"/>
          <w:vertAlign w:val="superscript"/>
        </w:rPr>
      </w:pPr>
    </w:p>
    <w:p>
      <w:pPr>
        <w:ind w:left="1080" w:right="7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This prospectus contains forward-looking statements. These statements may relate to, but are not limited to, expectations of future operating results or financial performance, capital expenditures, use of proceeds from this offering, introduction of new products and enhancements to our current platform, regulatory compliance, plans for growth and future operations, the size of our addressable market and market trends,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or "would," or the negative of these terms or other comparable terminology. Actual events or results may differ from those expressed in these forward-looking statements, and these differences may be material and adverse. The forward-looking statements are contained principally in the sections titled "Prospectus Summary," "Risk Factors," "Management's Discussion and Analysis of Financial Condition and Result of Operations" and "Business."</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prospectus. These risks are not exhaustive. Other sections of this prospectus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160" w:firstLine="345"/>
        <w:spacing w:after="0" w:line="30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Information contained in this prospectus concerning our industry and the market in which we operate, including our general expectations and market position, market opportunity and market size is based on information from various sources, including independent industry publications by 451 Research, Cisco, DB-Engines, Evans Data Corporation, Forrester, IDC and Stack Overflow. In presenting this information, we have also made assumptions based on such data and other similar sources, and on our knowledge of, and our experience to date in, the markets for our services. This information involves a number of assumptions and limitations, and you are cautioned not to give undue weight to such estimates. Although neither we nor the underwriters have independently verified the accuracy or completeness of any third-party information, we believe the market position, market opportunity and market size information included in this prospectus is reliable. The industry in which we operate is subject to a high degree of uncertainty and risk due to a variety of factors, including those described in the "Risk Factors" section. These and other factors could cause results to differ materially from those expressed in the estimates made by the independent parties and by us.</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Forrester study described herein represents data, research opinion or viewpoints published by Forrester and are not representations of fact. We have been advised by Forrester that its study speaks as of its original publication date (and not as of the date of this prospectus) and any opinions expressed in the study are subject to change without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667"/>
        </w:trPr>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220" w:type="dxa"/>
            <w:vAlign w:val="bottom"/>
          </w:tcPr>
          <w:p>
            <w:pPr>
              <w:spacing w:after="0"/>
              <w:rPr>
                <w:sz w:val="24"/>
                <w:szCs w:val="24"/>
                <w:color w:val="auto"/>
              </w:rPr>
            </w:pPr>
          </w:p>
        </w:tc>
        <w:tc>
          <w:tcPr>
            <w:tcW w:w="4620" w:type="dxa"/>
            <w:vAlign w:val="bottom"/>
            <w:gridSpan w:val="4"/>
          </w:tcPr>
          <w:p>
            <w:pPr>
              <w:ind w:left="140"/>
              <w:spacing w:after="0"/>
              <w:rPr>
                <w:sz w:val="20"/>
                <w:szCs w:val="20"/>
                <w:color w:val="auto"/>
              </w:rPr>
            </w:pPr>
            <w:r>
              <w:rPr>
                <w:rFonts w:ascii="Arial" w:cs="Arial" w:eastAsia="Arial" w:hAnsi="Arial"/>
                <w:sz w:val="18"/>
                <w:szCs w:val="18"/>
                <w:color w:val="auto"/>
                <w:w w:val="86"/>
              </w:rPr>
              <w:t>We estimate that the net proceeds from our issuance and sale of</w:t>
            </w:r>
          </w:p>
        </w:tc>
        <w:tc>
          <w:tcPr>
            <w:tcW w:w="6480" w:type="dxa"/>
            <w:vAlign w:val="bottom"/>
          </w:tcPr>
          <w:p>
            <w:pPr>
              <w:ind w:left="500"/>
              <w:spacing w:after="0"/>
              <w:rPr>
                <w:sz w:val="20"/>
                <w:szCs w:val="20"/>
                <w:color w:val="auto"/>
              </w:rPr>
            </w:pPr>
            <w:r>
              <w:rPr>
                <w:rFonts w:ascii="Arial" w:cs="Arial" w:eastAsia="Arial" w:hAnsi="Arial"/>
                <w:sz w:val="18"/>
                <w:szCs w:val="18"/>
                <w:color w:val="auto"/>
              </w:rPr>
              <w:t>shares of our Class A common stock in this offering will be approximately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3"/>
          </w:tcPr>
          <w:p>
            <w:pPr>
              <w:ind w:left="440"/>
              <w:spacing w:after="0"/>
              <w:rPr>
                <w:sz w:val="20"/>
                <w:szCs w:val="20"/>
                <w:color w:val="auto"/>
              </w:rPr>
            </w:pPr>
            <w:r>
              <w:rPr>
                <w:rFonts w:ascii="Arial" w:cs="Arial" w:eastAsia="Arial" w:hAnsi="Arial"/>
                <w:sz w:val="18"/>
                <w:szCs w:val="18"/>
                <w:color w:val="auto"/>
              </w:rPr>
              <w:t>million, or approximately $</w:t>
            </w: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w w:val="90"/>
              </w:rPr>
              <w:t>million if the underwriters exercise their over-allotment option in full, based upon an assumed initial public offering</w:t>
            </w: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w w:val="89"/>
              </w:rPr>
              <w:t>per share, the midpoint of the price range set forth on the cover page of this prospectus, after deducting estimated underwriting discounts and</w:t>
            </w:r>
          </w:p>
        </w:tc>
      </w:tr>
    </w:tbl>
    <w:p>
      <w:pPr>
        <w:ind w:right="40"/>
        <w:spacing w:after="0" w:line="261" w:lineRule="auto"/>
        <w:rPr>
          <w:sz w:val="20"/>
          <w:szCs w:val="20"/>
          <w:color w:val="auto"/>
        </w:rPr>
      </w:pPr>
      <w:r>
        <w:rPr>
          <w:rFonts w:ascii="Arial" w:cs="Arial" w:eastAsia="Arial" w:hAnsi="Arial"/>
          <w:sz w:val="18"/>
          <w:szCs w:val="18"/>
          <w:color w:val="auto"/>
        </w:rPr>
        <w:t>commissions and estimated offering expenses payable by us. We will not receive any of the proceeds from the sale of shares by the selling stockholders, although we will bear the costs, other than underwriting discounts and commissions, associated with those sales.</w:t>
      </w:r>
    </w:p>
    <w:p>
      <w:pPr>
        <w:spacing w:after="0" w:line="19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price range set forth on the cover page of this prospectus, would increase or decrease the net proceeds to us from this offering by approximately $ million, assuming that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decrease the net proceeds to us from this offering by approximately $ million, assuming that the assumed initial offering price to the public remains the same, and after deducting estimated underwriting discounts and commissions.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9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principal purposes of this offering are to increase our financial flexibility, create a public market for our Class A common stock and facilitate our future access to the capital markets. Although we have not yet determined with certainty the manner in which we will allocate the net proceeds of this offering, we currently intend to use the net proceeds from this offering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w:t>
      </w:r>
    </w:p>
    <w:p>
      <w:pPr>
        <w:spacing w:after="0" w:line="19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also use a portion of the proceeds from this offering for acquisitions or strategic investments in businesses or technologies, although we do not currently have any plans for any such acquisitions or investments.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short-and intermediate-term, interest-bearing, investment-grade securities and government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following this offering,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We may also be subject to covenants under future debt arrangements that place restrictions on our ability to pay dividends.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July 31, 2017:</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6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to reflect (1) the conversion of all outstanding shares of our redeemable convertible preferred stock into an aggregate of 53,905,795 shares of Class B common stock as if such conversion had occurred on July 31, 2017; (2) the reclassification of our redeemable convertible preferred stock warrant liability to stockholders' equity in connection with the expiration of our outstanding redeemable convertible preferred stock warrants as if this offering had occurred on July 31, 2017; and (3) the filing of our amended and restated certificate of incorporation, each of which will occur immediately prior to the completion of this offering; 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w w:val="90"/>
              </w:rPr>
              <w:t>on a pro forma as adjusted basis to reflect the pro forma items described immediately above and the sale of</w:t>
            </w:r>
          </w:p>
        </w:tc>
        <w:tc>
          <w:tcPr>
            <w:tcW w:w="2560" w:type="dxa"/>
            <w:vAlign w:val="bottom"/>
          </w:tcPr>
          <w:p>
            <w:pPr>
              <w:ind w:left="260"/>
              <w:spacing w:after="0"/>
              <w:rPr>
                <w:sz w:val="20"/>
                <w:szCs w:val="20"/>
                <w:color w:val="auto"/>
              </w:rPr>
            </w:pPr>
            <w:r>
              <w:rPr>
                <w:rFonts w:ascii="Arial" w:cs="Arial" w:eastAsia="Arial" w:hAnsi="Arial"/>
                <w:sz w:val="18"/>
                <w:szCs w:val="18"/>
                <w:color w:val="auto"/>
                <w:w w:val="86"/>
              </w:rPr>
              <w:t>shares of Class A common stock</w:t>
            </w:r>
          </w:p>
        </w:tc>
      </w:tr>
      <w:tr>
        <w:trPr>
          <w:trHeight w:val="216"/>
        </w:trPr>
        <w:tc>
          <w:tcPr>
            <w:tcW w:w="84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w w:val="92"/>
              </w:rPr>
              <w:t>in this offering at an assumed initial public offering price of $</w:t>
            </w: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22"/>
        </w:trPr>
        <w:tc>
          <w:tcPr>
            <w:tcW w:w="840" w:type="dxa"/>
            <w:vAlign w:val="bottom"/>
          </w:tcPr>
          <w:p>
            <w:pPr>
              <w:spacing w:after="0"/>
              <w:rPr>
                <w:sz w:val="19"/>
                <w:szCs w:val="19"/>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w:t>
            </w:r>
          </w:p>
        </w:tc>
      </w:tr>
      <w:tr>
        <w:trPr>
          <w:trHeight w:val="432"/>
        </w:trPr>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340" w:type="dxa"/>
            <w:vAlign w:val="bottom"/>
          </w:tcPr>
          <w:p>
            <w:pPr>
              <w:jc w:val="right"/>
              <w:ind w:right="2972"/>
              <w:spacing w:after="0"/>
              <w:rPr>
                <w:sz w:val="20"/>
                <w:szCs w:val="20"/>
                <w:color w:val="auto"/>
              </w:rPr>
            </w:pPr>
            <w:r>
              <w:rPr>
                <w:rFonts w:ascii="Arial" w:cs="Arial" w:eastAsia="Arial" w:hAnsi="Arial"/>
                <w:sz w:val="18"/>
                <w:szCs w:val="18"/>
                <w:color w:val="auto"/>
              </w:rPr>
              <w:t>52</w:t>
            </w:r>
          </w:p>
        </w:tc>
        <w:tc>
          <w:tcPr>
            <w:tcW w:w="256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5"/>
        <w:spacing w:after="0" w:line="332" w:lineRule="auto"/>
        <w:rPr>
          <w:sz w:val="20"/>
          <w:szCs w:val="20"/>
          <w:color w:val="auto"/>
        </w:rPr>
      </w:pPr>
      <w:r>
        <w:rPr>
          <w:rFonts w:ascii="Arial" w:cs="Arial" w:eastAsia="Arial" w:hAnsi="Arial"/>
          <w:sz w:val="16"/>
          <w:szCs w:val="16"/>
          <w:color w:val="auto"/>
        </w:rPr>
        <w:t>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86"/>
              </w:rPr>
              <w:t>As of July 31, 2017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1"/>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Pro Forma</w:t>
            </w:r>
          </w:p>
        </w:tc>
        <w:tc>
          <w:tcPr>
            <w:tcW w:w="60" w:type="dxa"/>
            <w:vAlign w:val="bottom"/>
          </w:tcPr>
          <w:p>
            <w:pPr>
              <w:spacing w:after="0"/>
              <w:rPr>
                <w:sz w:val="16"/>
                <w:szCs w:val="16"/>
                <w:color w:val="auto"/>
              </w:rPr>
            </w:pPr>
          </w:p>
        </w:tc>
        <w:tc>
          <w:tcPr>
            <w:tcW w:w="1200" w:type="dxa"/>
            <w:vAlign w:val="bottom"/>
            <w:gridSpan w:val="2"/>
          </w:tcPr>
          <w:p>
            <w:pPr>
              <w:jc w:val="center"/>
              <w:ind w:right="160"/>
              <w:spacing w:after="0" w:line="193" w:lineRule="exact"/>
              <w:rPr>
                <w:sz w:val="20"/>
                <w:szCs w:val="20"/>
                <w:color w:val="auto"/>
              </w:rPr>
            </w:pPr>
            <w:r>
              <w:rPr>
                <w:rFonts w:ascii="Arial" w:cs="Arial" w:eastAsia="Arial" w:hAnsi="Arial"/>
                <w:sz w:val="14"/>
                <w:szCs w:val="14"/>
                <w:b w:val="1"/>
                <w:bCs w:val="1"/>
                <w:color w:val="auto"/>
                <w:w w:val="84"/>
              </w:rPr>
              <w:t>As Adjusted</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5"/>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5"/>
            <w:vMerge w:val="restart"/>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5"/>
            <w:vMerge w:val="continue"/>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Redeemable convertible preferred stock, par value $0.001 per share; 41,234,841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1"/>
              </w:rPr>
              <w:t>shares authorized, 41,232,762 shares issued and outstanding, actual; no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Stockholders' (deficit) equity:</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Class A common stock, par value $0.001 per share; 162,500,000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3"/>
              </w:rPr>
              <w:t>authorized, 136,400 shares issued and outstanding, actual;</w:t>
            </w:r>
          </w:p>
        </w:tc>
        <w:tc>
          <w:tcPr>
            <w:tcW w:w="1260" w:type="dxa"/>
            <w:vAlign w:val="bottom"/>
            <w:gridSpan w:val="3"/>
            <w:shd w:val="clear" w:color="auto" w:fill="CCEEFF"/>
          </w:tcPr>
          <w:p>
            <w:pPr>
              <w:jc w:val="right"/>
              <w:ind w:right="571"/>
              <w:spacing w:after="0"/>
              <w:rPr>
                <w:sz w:val="20"/>
                <w:szCs w:val="20"/>
                <w:color w:val="auto"/>
              </w:rPr>
            </w:pPr>
            <w:r>
              <w:rPr>
                <w:rFonts w:ascii="Arial" w:cs="Arial" w:eastAsia="Arial" w:hAnsi="Arial"/>
                <w:sz w:val="18"/>
                <w:szCs w:val="18"/>
                <w:color w:val="auto"/>
              </w:rPr>
              <w:t>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87"/>
              </w:rPr>
              <w:t>authorized, 136,400 shares issued and outstanding, pro forma;</w:t>
            </w:r>
          </w:p>
        </w:tc>
        <w:tc>
          <w:tcPr>
            <w:tcW w:w="1260" w:type="dxa"/>
            <w:vAlign w:val="bottom"/>
            <w:gridSpan w:val="3"/>
            <w:shd w:val="clear" w:color="auto" w:fill="CCEEFF"/>
          </w:tcPr>
          <w:p>
            <w:pPr>
              <w:jc w:val="right"/>
              <w:ind w:right="291"/>
              <w:spacing w:after="0"/>
              <w:rPr>
                <w:sz w:val="20"/>
                <w:szCs w:val="20"/>
                <w:color w:val="auto"/>
              </w:rPr>
            </w:pPr>
            <w:r>
              <w:rPr>
                <w:rFonts w:ascii="Arial" w:cs="Arial" w:eastAsia="Arial" w:hAnsi="Arial"/>
                <w:sz w:val="18"/>
                <w:szCs w:val="18"/>
                <w:color w:val="auto"/>
              </w:rPr>
              <w:t>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authorized,</w:t>
            </w:r>
          </w:p>
        </w:tc>
        <w:tc>
          <w:tcPr>
            <w:tcW w:w="4860" w:type="dxa"/>
            <w:vAlign w:val="bottom"/>
            <w:gridSpan w:val="6"/>
            <w:shd w:val="clear" w:color="auto" w:fill="CCEEFF"/>
          </w:tcPr>
          <w:p>
            <w:pPr>
              <w:jc w:val="right"/>
              <w:ind w:right="571"/>
              <w:spacing w:after="0"/>
              <w:rPr>
                <w:sz w:val="20"/>
                <w:szCs w:val="20"/>
                <w:color w:val="auto"/>
              </w:rPr>
            </w:pPr>
            <w:r>
              <w:rPr>
                <w:rFonts w:ascii="Arial" w:cs="Arial" w:eastAsia="Arial" w:hAnsi="Arial"/>
                <w:sz w:val="18"/>
                <w:szCs w:val="18"/>
                <w:color w:val="auto"/>
                <w:w w:val="98"/>
              </w:rPr>
              <w:t>shares issued and outstanding, pro forma as adjusted</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gridSpan w:val="7"/>
          </w:tcPr>
          <w:p>
            <w:pPr>
              <w:ind w:left="160"/>
              <w:spacing w:after="0"/>
              <w:rPr>
                <w:sz w:val="20"/>
                <w:szCs w:val="20"/>
                <w:color w:val="auto"/>
              </w:rPr>
            </w:pPr>
            <w:r>
              <w:rPr>
                <w:rFonts w:ascii="Arial" w:cs="Arial" w:eastAsia="Arial" w:hAnsi="Arial"/>
                <w:sz w:val="18"/>
                <w:szCs w:val="18"/>
                <w:color w:val="auto"/>
              </w:rPr>
              <w:t>Class B common stock, par value $0.001 per share; 113,000,000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7"/>
          </w:tcPr>
          <w:p>
            <w:pPr>
              <w:ind w:left="340"/>
              <w:spacing w:after="0"/>
              <w:rPr>
                <w:sz w:val="20"/>
                <w:szCs w:val="20"/>
                <w:color w:val="auto"/>
              </w:rPr>
            </w:pPr>
            <w:r>
              <w:rPr>
                <w:rFonts w:ascii="Arial" w:cs="Arial" w:eastAsia="Arial" w:hAnsi="Arial"/>
                <w:sz w:val="18"/>
                <w:szCs w:val="18"/>
                <w:color w:val="auto"/>
                <w:w w:val="95"/>
              </w:rPr>
              <w:t>authorized, 28,093,469 shares issued and 27,894,727 shares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actual;</w:t>
            </w:r>
          </w:p>
        </w:tc>
        <w:tc>
          <w:tcPr>
            <w:tcW w:w="4860" w:type="dxa"/>
            <w:vAlign w:val="bottom"/>
            <w:gridSpan w:val="6"/>
          </w:tcPr>
          <w:p>
            <w:pPr>
              <w:jc w:val="right"/>
              <w:ind w:right="431"/>
              <w:spacing w:after="0"/>
              <w:rPr>
                <w:sz w:val="20"/>
                <w:szCs w:val="20"/>
                <w:color w:val="auto"/>
              </w:rPr>
            </w:pPr>
            <w:r>
              <w:rPr>
                <w:rFonts w:ascii="Arial" w:cs="Arial" w:eastAsia="Arial" w:hAnsi="Arial"/>
                <w:sz w:val="18"/>
                <w:szCs w:val="18"/>
                <w:color w:val="auto"/>
                <w:w w:val="89"/>
              </w:rPr>
              <w:t>shares authorized, 81,999,264 shares issued and 81,800,522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340"/>
              <w:spacing w:after="0"/>
              <w:rPr>
                <w:sz w:val="20"/>
                <w:szCs w:val="20"/>
                <w:color w:val="auto"/>
              </w:rPr>
            </w:pPr>
            <w:r>
              <w:rPr>
                <w:rFonts w:ascii="Arial" w:cs="Arial" w:eastAsia="Arial" w:hAnsi="Arial"/>
                <w:sz w:val="18"/>
                <w:szCs w:val="18"/>
                <w:color w:val="auto"/>
              </w:rPr>
              <w:t>shares outstanding, pro forma;</w:t>
            </w:r>
          </w:p>
        </w:tc>
        <w:tc>
          <w:tcPr>
            <w:tcW w:w="1880" w:type="dxa"/>
            <w:vAlign w:val="bottom"/>
          </w:tcPr>
          <w:p>
            <w:pPr>
              <w:ind w:left="140"/>
              <w:spacing w:after="0"/>
              <w:rPr>
                <w:sz w:val="20"/>
                <w:szCs w:val="20"/>
                <w:color w:val="auto"/>
              </w:rPr>
            </w:pPr>
            <w:r>
              <w:rPr>
                <w:rFonts w:ascii="Arial" w:cs="Arial" w:eastAsia="Arial" w:hAnsi="Arial"/>
                <w:sz w:val="18"/>
                <w:szCs w:val="18"/>
                <w:color w:val="auto"/>
              </w:rPr>
              <w:t>shares authorized,</w:t>
            </w:r>
          </w:p>
        </w:tc>
        <w:tc>
          <w:tcPr>
            <w:tcW w:w="1260" w:type="dxa"/>
            <w:vAlign w:val="bottom"/>
            <w:gridSpan w:val="3"/>
          </w:tcPr>
          <w:p>
            <w:pPr>
              <w:jc w:val="right"/>
              <w:ind w:right="251"/>
              <w:spacing w:after="0"/>
              <w:rPr>
                <w:sz w:val="20"/>
                <w:szCs w:val="20"/>
                <w:color w:val="auto"/>
              </w:rPr>
            </w:pPr>
            <w:r>
              <w:rPr>
                <w:rFonts w:ascii="Arial" w:cs="Arial" w:eastAsia="Arial" w:hAnsi="Arial"/>
                <w:sz w:val="18"/>
                <w:szCs w:val="18"/>
                <w:color w:val="auto"/>
                <w:w w:val="84"/>
              </w:rPr>
              <w:t>shares issued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and</w:t>
            </w: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shares outstanding, pro forma as adjusted</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Treasury stock, 198,742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(393,170)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(393,170)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Total stockholders' (deficit) equity</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(318,197)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Total capitalization</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0"/>
          <w:szCs w:val="10"/>
          <w:color w:val="auto"/>
        </w:rPr>
      </w:pPr>
      <w:r>
        <w:rPr>
          <w:rFonts w:ascii="Arial" w:cs="Arial" w:eastAsia="Arial" w:hAnsi="Arial"/>
          <w:sz w:val="12"/>
          <w:szCs w:val="12"/>
          <w:color w:val="auto"/>
        </w:rPr>
        <w:t>The pro forma as adjusted information set forth above is illustrative only and will change based on the actual initial public offering price and other terms of this offering determined</w:t>
      </w:r>
    </w:p>
    <w:p>
      <w:pPr>
        <w:spacing w:after="0" w:line="23" w:lineRule="exact"/>
        <w:rPr>
          <w:sz w:val="20"/>
          <w:szCs w:val="20"/>
          <w:color w:val="auto"/>
        </w:rPr>
      </w:pPr>
    </w:p>
    <w:p>
      <w:pPr>
        <w:ind w:left="1680" w:right="360"/>
        <w:spacing w:after="0" w:line="258" w:lineRule="auto"/>
        <w:rPr>
          <w:sz w:val="20"/>
          <w:szCs w:val="20"/>
          <w:color w:val="auto"/>
        </w:rPr>
      </w:pPr>
      <w:r>
        <w:rPr>
          <w:rFonts w:ascii="Arial" w:cs="Arial" w:eastAsia="Arial" w:hAnsi="Arial"/>
          <w:sz w:val="12"/>
          <w:szCs w:val="12"/>
          <w:color w:val="auto"/>
        </w:rPr>
        <w:t>at pricing. Each $1.00 increase or decrease in the assumed initial public offering price of $ per share, the midpoint of the price range set forth on the cover page of this prospectus, would increase or decrease pro forma as adjusted cash and cash equivalents, additional paid-in capital, total stockholders' equity and total capitalization by</w:t>
      </w:r>
    </w:p>
    <w:p>
      <w:pPr>
        <w:ind w:left="1680" w:right="100"/>
        <w:spacing w:after="0" w:line="258" w:lineRule="auto"/>
        <w:rPr>
          <w:sz w:val="20"/>
          <w:szCs w:val="20"/>
          <w:color w:val="auto"/>
        </w:rPr>
      </w:pPr>
      <w:r>
        <w:rPr>
          <w:rFonts w:ascii="Arial" w:cs="Arial" w:eastAsia="Arial" w:hAnsi="Arial"/>
          <w:sz w:val="12"/>
          <w:szCs w:val="12"/>
          <w:color w:val="auto"/>
        </w:rPr>
        <w:t>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and cash equivalents, additional paid-in capital, total stockholders' equity and total capitalization by</w:t>
      </w:r>
    </w:p>
    <w:tbl>
      <w:tblPr>
        <w:tblLayout w:type="fixed"/>
        <w:tblInd w:w="0" w:type="dxa"/>
        <w:tblCellMar>
          <w:top w:w="0" w:type="dxa"/>
          <w:left w:w="0" w:type="dxa"/>
          <w:bottom w:w="0" w:type="dxa"/>
          <w:right w:w="0" w:type="dxa"/>
        </w:tblCellMar>
      </w:tblPr>
      <w:tr>
        <w:trPr>
          <w:trHeight w:val="137"/>
        </w:trPr>
        <w:tc>
          <w:tcPr>
            <w:tcW w:w="2800" w:type="dxa"/>
            <w:vAlign w:val="bottom"/>
          </w:tcPr>
          <w:p>
            <w:pPr>
              <w:ind w:left="1680"/>
              <w:spacing w:after="0" w:line="137" w:lineRule="exact"/>
              <w:rPr>
                <w:sz w:val="20"/>
                <w:szCs w:val="20"/>
                <w:color w:val="auto"/>
              </w:rPr>
            </w:pPr>
            <w:r>
              <w:rPr>
                <w:rFonts w:ascii="Arial" w:cs="Arial" w:eastAsia="Arial" w:hAnsi="Arial"/>
                <w:sz w:val="14"/>
                <w:szCs w:val="14"/>
                <w:color w:val="auto"/>
              </w:rPr>
              <w:t>approximately $</w:t>
            </w:r>
          </w:p>
        </w:tc>
        <w:tc>
          <w:tcPr>
            <w:tcW w:w="8620" w:type="dxa"/>
            <w:vAlign w:val="bottom"/>
          </w:tcPr>
          <w:p>
            <w:pPr>
              <w:jc w:val="right"/>
              <w:ind w:right="462"/>
              <w:spacing w:after="0" w:line="137" w:lineRule="exact"/>
              <w:rPr>
                <w:sz w:val="20"/>
                <w:szCs w:val="20"/>
                <w:color w:val="auto"/>
              </w:rPr>
            </w:pPr>
            <w:r>
              <w:rPr>
                <w:rFonts w:ascii="Arial" w:cs="Arial" w:eastAsia="Arial" w:hAnsi="Arial"/>
                <w:sz w:val="14"/>
                <w:szCs w:val="14"/>
                <w:color w:val="auto"/>
                <w:w w:val="89"/>
              </w:rPr>
              <w:t>million, assuming that the assumed initial offering price to the public remains the same, and after deducting estimated underwriting discounts and</w:t>
            </w:r>
          </w:p>
        </w:tc>
      </w:tr>
      <w:tr>
        <w:trPr>
          <w:trHeight w:val="172"/>
        </w:trPr>
        <w:tc>
          <w:tcPr>
            <w:tcW w:w="2800" w:type="dxa"/>
            <w:vAlign w:val="bottom"/>
          </w:tcPr>
          <w:p>
            <w:pPr>
              <w:ind w:left="1680"/>
              <w:spacing w:after="0"/>
              <w:rPr>
                <w:sz w:val="20"/>
                <w:szCs w:val="20"/>
                <w:color w:val="auto"/>
              </w:rPr>
            </w:pPr>
            <w:r>
              <w:rPr>
                <w:rFonts w:ascii="Arial" w:cs="Arial" w:eastAsia="Arial" w:hAnsi="Arial"/>
                <w:sz w:val="14"/>
                <w:szCs w:val="14"/>
                <w:color w:val="auto"/>
              </w:rPr>
              <w:t>commissions.</w:t>
            </w:r>
          </w:p>
        </w:tc>
        <w:tc>
          <w:tcPr>
            <w:tcW w:w="8620" w:type="dxa"/>
            <w:vAlign w:val="bottom"/>
          </w:tcPr>
          <w:p>
            <w:pPr>
              <w:spacing w:after="0"/>
              <w:rPr>
                <w:sz w:val="14"/>
                <w:szCs w:val="14"/>
                <w:color w:val="auto"/>
              </w:rPr>
            </w:pPr>
          </w:p>
        </w:tc>
      </w:tr>
      <w:tr>
        <w:trPr>
          <w:trHeight w:val="417"/>
        </w:trPr>
        <w:tc>
          <w:tcPr>
            <w:tcW w:w="2800" w:type="dxa"/>
            <w:vAlign w:val="bottom"/>
          </w:tcPr>
          <w:p>
            <w:pPr>
              <w:spacing w:after="0"/>
              <w:rPr>
                <w:sz w:val="24"/>
                <w:szCs w:val="24"/>
                <w:color w:val="auto"/>
              </w:rPr>
            </w:pPr>
          </w:p>
        </w:tc>
        <w:tc>
          <w:tcPr>
            <w:tcW w:w="8620" w:type="dxa"/>
            <w:vAlign w:val="bottom"/>
          </w:tcPr>
          <w:p>
            <w:pPr>
              <w:jc w:val="right"/>
              <w:ind w:right="5542"/>
              <w:spacing w:after="0"/>
              <w:rPr>
                <w:sz w:val="20"/>
                <w:szCs w:val="20"/>
                <w:color w:val="auto"/>
              </w:rPr>
            </w:pPr>
            <w:r>
              <w:rPr>
                <w:rFonts w:ascii="Arial" w:cs="Arial" w:eastAsia="Arial" w:hAnsi="Arial"/>
                <w:sz w:val="18"/>
                <w:szCs w:val="18"/>
                <w:color w:val="auto"/>
              </w:rPr>
              <w:t>53</w:t>
            </w:r>
          </w:p>
        </w:tc>
      </w:tr>
      <w:tr>
        <w:trPr>
          <w:trHeight w:val="228"/>
        </w:trPr>
        <w:tc>
          <w:tcPr>
            <w:tcW w:w="28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in the table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5,836,950 shares of Class A common stock and 19,028,377 shares of Class B common stock, in each case, issuable upon the exercise of options outstanding as of July 31, 2017, at a weighted-average exercise price of $4.47 and $3.21 per share, respectively;</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247,205 shares of Class B common stock issuable upon the exercise of warrants outstanding as of July 31, 2017, at a weighted-average exercise price of $2.94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200" w:firstLine="351"/>
        <w:spacing w:after="0" w:line="332"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as adjusted net tangible book value per share of our common stock immediately after the closing of this offering.</w:t>
      </w:r>
    </w:p>
    <w:p>
      <w:pPr>
        <w:spacing w:after="0" w:line="13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Our historical net tangible book value as of July 31, 2017 was $(324.8) million, or $(11.59) per share of our common stock. Our historical net tangible book value per share represents our total tangible assets less our total liabilities and redeemable convertible preferred stock (which is not included within stockholders' (deficit) equity), divided by the number of shares of Class A common stock and Class B common stock outstanding as of July 31, 2017.</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pro forma net tangible book value as of July 31, 2017 was $21.7 million, or $0.26 per share of common stock. Pro forma net tangible book value per share represents our total tangible assets less our total liabilities, divided by the number of shares of Class A common stock and Class B common stock outstanding as of July 31, 2017, after giving effect to: (1) the conversion of all outstanding shares of our redeemable convertible preferred stock into an aggregate of 53,905,795 shares of Class B common stock as if such conversion had occurred on July 31, 2017; (2) the reclassification of our redeemable convertible preferred stock warrant liability to stockholders' equity in connection with the expiration of our outstanding redeemable convertible preferred stock warrants as if this offering had occurred on July 31, 2017; and (3) the filing of our amended and restated certificate of incorporation, each of which will occur immediately prior to the closing of this offering.</w:t>
      </w:r>
    </w:p>
    <w:p>
      <w:pPr>
        <w:spacing w:after="0" w:line="20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Our pro forma as adjusted net tangible book value represents our pro forma net tangible book value, plus the effect of the sale of shares of Class A common stock in this offering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Our pro forma as adjusted net</w:t>
      </w:r>
    </w:p>
    <w:p>
      <w:pPr>
        <w:spacing w:after="0" w:line="3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tangible book value as of July 31, 2017 was $ million, or $ per share of common stock. This amount represents an immediate increase in pro forma net tangible book value of $ per share to our existing stockholders and an immediate dilution of $ per share to investors participating in this offering. We</w:t>
      </w:r>
    </w:p>
    <w:p>
      <w:pPr>
        <w:ind w:right="300"/>
        <w:spacing w:after="0" w:line="261" w:lineRule="auto"/>
        <w:rPr>
          <w:sz w:val="20"/>
          <w:szCs w:val="20"/>
          <w:color w:val="auto"/>
        </w:rPr>
      </w:pPr>
      <w:r>
        <w:rPr>
          <w:rFonts w:ascii="Arial" w:cs="Arial" w:eastAsia="Arial" w:hAnsi="Arial"/>
          <w:sz w:val="18"/>
          <w:szCs w:val="18"/>
          <w:color w:val="auto"/>
        </w:rPr>
        <w:t>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Historical net tangible book value per share as of July 31, 2017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July 31,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Increase in pro forma net tangible book value per share attributed to new investors purchasing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us in this offering</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40" w:type="dxa"/>
            <w:vAlign w:val="bottom"/>
            <w:gridSpan w:val="2"/>
          </w:tcPr>
          <w:p>
            <w:pPr>
              <w:ind w:left="78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Dilution in pro forma as adjusted net tangible book value per share to new investors in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pro forma as adjusted dilution information discussed above is illustrative only and will change based on the actual initial public offering price and other terms of this offering determined at pricing. Each $1.00 increase or decrease in the assumed initial public offering price of $ per share, the midpoint of the price range set forth on the cover page of this prospectus, would increase or decrease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the pro forma as adjusted net tangible book value per share by $ per share and the dilution per share to investors participating in this offering by $ per share,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in the number of</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6"/>
          <w:szCs w:val="16"/>
          <w:color w:val="auto"/>
        </w:rPr>
        <w:t>shares offered by us, as set forth on the cover page of this prospectus, would increase the pro forma as adjusted net tangible book value per share by $ and decrease the dilution per share to investors participating in this offering by $ , assuming the assumed initial public offering price of $ per share, the midpoint of the price range set forth on the cover page of this prospectus, remains the same and after deducting estimated underwriting discounts and commissions. A 1,000,000 share decrease in the number of shares offered by us, as set forth on the cover page of this prospectus, would decrease the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net tangible book value per share after this offering by $ and increase the dilution per share to new investors participating in this offering by $ , assuming the assumed initial public offering price of $ per share, the midpoint of the price range set forth on the cover page of this prospectus, remains the same and after deducting estimated underwriting discounts and commissions.</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the underwriters exercise their over-allotment option in full to purchase an additional shares of our Class A common stock in this offering, the pro forma as adjusted net tangible book value of our common stock would increase to $ per share, representing an immediate increase in the pro forma net tangible book value per share to existing stockholders of $ per share and an immediate dilution of $ per share to investors participating in this offering.</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following table summarizes as of July 31, 2017, on the pro forma as adjusted basis described above, the number of shares of our Class A common stock and Class B common stock, the total consideration and the average price per share (1) paid to us by our existing stockholders and (2) to be paid by investors purchasing our Class A 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Shares Purchased</w:t>
            </w:r>
          </w:p>
        </w:tc>
        <w:tc>
          <w:tcPr>
            <w:tcW w:w="12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6"/>
              </w:rPr>
              <w:t>Total Consideration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80" w:type="dxa"/>
            <w:vAlign w:val="bottom"/>
            <w:gridSpan w:val="3"/>
            <w:vMerge w:val="restart"/>
          </w:tcPr>
          <w:p>
            <w:pPr>
              <w:jc w:val="center"/>
              <w:ind w:right="1180"/>
              <w:spacing w:after="0" w:line="136"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New Investors purchasing Class A common stock</w:t>
            </w:r>
          </w:p>
        </w:tc>
        <w:tc>
          <w:tcPr>
            <w:tcW w:w="1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80" w:type="dxa"/>
            <w:vAlign w:val="bottom"/>
            <w:gridSpan w:val="17"/>
          </w:tcPr>
          <w:p>
            <w:pPr>
              <w:ind w:left="360"/>
              <w:spacing w:after="0"/>
              <w:rPr>
                <w:sz w:val="20"/>
                <w:szCs w:val="20"/>
                <w:color w:val="auto"/>
              </w:rPr>
            </w:pPr>
            <w:r>
              <w:rPr>
                <w:rFonts w:ascii="Arial" w:cs="Arial" w:eastAsia="Arial" w:hAnsi="Arial"/>
                <w:sz w:val="18"/>
                <w:szCs w:val="18"/>
                <w:color w:val="auto"/>
                <w:w w:val="92"/>
              </w:rPr>
              <w:t>The foregoing table does not reflect the sales by existing stockholders in this offering. Sales by the selling stockholders in this offering will reduce the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2"/>
              </w:rPr>
              <w:t>number of shares held by existing stockholders to</w:t>
            </w:r>
          </w:p>
        </w:tc>
        <w:tc>
          <w:tcPr>
            <w:tcW w:w="108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6520" w:type="dxa"/>
            <w:vAlign w:val="bottom"/>
            <w:gridSpan w:val="14"/>
          </w:tcPr>
          <w:p>
            <w:pPr>
              <w:ind w:left="100"/>
              <w:spacing w:after="0"/>
              <w:rPr>
                <w:sz w:val="20"/>
                <w:szCs w:val="20"/>
                <w:color w:val="auto"/>
              </w:rPr>
            </w:pPr>
            <w:r>
              <w:rPr>
                <w:rFonts w:ascii="Arial" w:cs="Arial" w:eastAsia="Arial" w:hAnsi="Arial"/>
                <w:sz w:val="18"/>
                <w:szCs w:val="18"/>
                <w:color w:val="auto"/>
                <w:w w:val="89"/>
              </w:rPr>
              <w:t>% of the total number of shares of our Class A common stock and Class B common stock</w:t>
            </w:r>
          </w:p>
        </w:tc>
        <w:tc>
          <w:tcPr>
            <w:tcW w:w="0" w:type="dxa"/>
            <w:vAlign w:val="bottom"/>
          </w:tcPr>
          <w:p>
            <w:pPr>
              <w:spacing w:after="0"/>
              <w:rPr>
                <w:sz w:val="1"/>
                <w:szCs w:val="1"/>
                <w:color w:val="auto"/>
              </w:rPr>
            </w:pPr>
          </w:p>
        </w:tc>
      </w:tr>
      <w:tr>
        <w:trPr>
          <w:trHeight w:val="222"/>
        </w:trPr>
        <w:tc>
          <w:tcPr>
            <w:tcW w:w="6900" w:type="dxa"/>
            <w:vAlign w:val="bottom"/>
            <w:gridSpan w:val="5"/>
          </w:tcPr>
          <w:p>
            <w:pPr>
              <w:jc w:val="right"/>
              <w:ind w:right="192"/>
              <w:spacing w:after="0"/>
              <w:rPr>
                <w:sz w:val="20"/>
                <w:szCs w:val="20"/>
                <w:color w:val="auto"/>
              </w:rPr>
            </w:pPr>
            <w:r>
              <w:rPr>
                <w:rFonts w:ascii="Arial" w:cs="Arial" w:eastAsia="Arial" w:hAnsi="Arial"/>
                <w:sz w:val="18"/>
                <w:szCs w:val="18"/>
                <w:color w:val="auto"/>
                <w:w w:val="88"/>
              </w:rPr>
              <w:t>outstanding after this offering, and will increase the number of shares held by new investors to</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shares, or</w:t>
            </w:r>
          </w:p>
        </w:tc>
        <w:tc>
          <w:tcPr>
            <w:tcW w:w="3360" w:type="dxa"/>
            <w:vAlign w:val="bottom"/>
            <w:gridSpan w:val="8"/>
          </w:tcPr>
          <w:p>
            <w:pPr>
              <w:ind w:left="100"/>
              <w:spacing w:after="0"/>
              <w:rPr>
                <w:sz w:val="20"/>
                <w:szCs w:val="20"/>
                <w:color w:val="auto"/>
              </w:rPr>
            </w:pPr>
            <w:r>
              <w:rPr>
                <w:rFonts w:ascii="Arial" w:cs="Arial" w:eastAsia="Arial" w:hAnsi="Arial"/>
                <w:sz w:val="18"/>
                <w:szCs w:val="18"/>
                <w:color w:val="auto"/>
                <w:w w:val="87"/>
              </w:rPr>
              <w:t>% of the total number of shares of our Class A</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common stock and Class B common stock outstanding after this offering. In addition, if the underwriters exercise their over-allotment option in full, the number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8"/>
                <w:szCs w:val="18"/>
                <w:color w:val="auto"/>
                <w:w w:val="91"/>
              </w:rPr>
              <w:t>of shares held by the existing stockholders after this offering would be reduced to</w:t>
            </w:r>
          </w:p>
        </w:tc>
        <w:tc>
          <w:tcPr>
            <w:tcW w:w="1000" w:type="dxa"/>
            <w:vAlign w:val="bottom"/>
          </w:tcPr>
          <w:p>
            <w:pPr>
              <w:ind w:left="140"/>
              <w:spacing w:after="0"/>
              <w:rPr>
                <w:sz w:val="20"/>
                <w:szCs w:val="20"/>
                <w:color w:val="auto"/>
              </w:rPr>
            </w:pPr>
            <w:r>
              <w:rPr>
                <w:rFonts w:ascii="Arial" w:cs="Arial" w:eastAsia="Arial" w:hAnsi="Arial"/>
                <w:sz w:val="18"/>
                <w:szCs w:val="18"/>
                <w:color w:val="auto"/>
              </w:rPr>
              <w:t>shares, 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7"/>
              </w:rPr>
              <w:t>% of the total number of shares of our Class A common</w:t>
            </w: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w w:val="89"/>
              </w:rPr>
              <w:t>stock and Class B common stock outstanding after this offering, and the number of shares held by new investors would increase to</w:t>
            </w:r>
          </w:p>
        </w:tc>
        <w:tc>
          <w:tcPr>
            <w:tcW w:w="1020" w:type="dxa"/>
            <w:vAlign w:val="bottom"/>
          </w:tcPr>
          <w:p>
            <w:pPr>
              <w:ind w:left="180"/>
              <w:spacing w:after="0"/>
              <w:rPr>
                <w:sz w:val="20"/>
                <w:szCs w:val="20"/>
                <w:color w:val="auto"/>
              </w:rPr>
            </w:pPr>
            <w:r>
              <w:rPr>
                <w:rFonts w:ascii="Arial" w:cs="Arial" w:eastAsia="Arial" w:hAnsi="Arial"/>
                <w:sz w:val="18"/>
                <w:szCs w:val="18"/>
                <w:color w:val="auto"/>
              </w:rPr>
              <w:t>shares, or</w:t>
            </w:r>
          </w:p>
        </w:tc>
        <w:tc>
          <w:tcPr>
            <w:tcW w:w="1040" w:type="dxa"/>
            <w:vAlign w:val="bottom"/>
          </w:tcPr>
          <w:p>
            <w:pPr>
              <w:ind w:left="180"/>
              <w:spacing w:after="0"/>
              <w:rPr>
                <w:sz w:val="20"/>
                <w:szCs w:val="20"/>
                <w:color w:val="auto"/>
              </w:rPr>
            </w:pPr>
            <w:r>
              <w:rPr>
                <w:rFonts w:ascii="Arial" w:cs="Arial" w:eastAsia="Arial" w:hAnsi="Arial"/>
                <w:sz w:val="18"/>
                <w:szCs w:val="18"/>
                <w:color w:val="auto"/>
              </w:rPr>
              <w:t>% of the</w:t>
            </w: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number of shares of our Class A common stock and Class B common stock outstanding after this offering.</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2"/>
        </w:trPr>
        <w:tc>
          <w:tcPr>
            <w:tcW w:w="594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used in the computations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5,836,950 shares of Class A common stock and 19,028,377 shares of Class B common stock, in each case, issuable upon the exercise of options outstanding as of July 31, 2017, at a weighted-average exercise price of $4.47 and $3.21 per share, respectively;</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247,205 shares of Class B common stock issuable upon the exercise of warrants outstanding as of July 31, 2017, at a weighted-average exercise price of $2.94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derived the following selected consolidated statements of operations data for the fiscal years ended January 31, 2016 and 2017 and the selected consolidated balance sheet data as of January 31, 2016 and 2017 from our audited consolidated financial statements included elsewhere in this prospectus. We derived the selected consolidated statements of operations data for the six months ended July 31, 2016 and 2017 and the selected consolidated balance sheet data as of July 31,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following selected consolidated statement of operations data for the fiscal year ended January 31, 2015, and the selected consolidated balance sheet data as of January 31, 2015, from our audited consolidated financial statements not included in this prospectus. Our fiscal year ends January 31.</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Historical results are not necessarily indicative of the results that may be expected in the future, and the results for the six months ended July 31, 2017 are not necessarily indicative of the results to be expected for the full year or any other period. The selected financial data set forth below should be read together with the consolidated financial statements and the related notes included elsewhere in this prospectus, as well as the section of this prospectus titled "Management's Discussion and Analysis of Financial Condition and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Year Ended January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60" w:type="dxa"/>
            <w:vAlign w:val="bottom"/>
            <w:gridSpan w:val="2"/>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Consolidated Statements of Operations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48,603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52,072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78,584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37,454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49,037</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160" w:type="dxa"/>
            <w:vAlign w:val="bottom"/>
            <w:shd w:val="clear" w:color="auto" w:fill="CCEEFF"/>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16,704</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(45,964)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w w:val="99"/>
              </w:rPr>
              <w:t>Loss before provision for income taxes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4"/>
              </w:rPr>
              <w:t>Year Ended January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July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gridSpan w:val="2"/>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4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net loss per share attributable 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21,268,067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23,526,487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26,772,495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pro forma net loss per share attributable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to 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80,592,714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10"/>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5"/>
              </w:rPr>
              <w:t>July 31,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570</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w:t>
            </w: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3,312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2,567</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3,616</w:t>
            </w:r>
          </w:p>
        </w:tc>
        <w:tc>
          <w:tcPr>
            <w:tcW w:w="0" w:type="dxa"/>
            <w:vAlign w:val="bottom"/>
          </w:tcPr>
          <w:p>
            <w:pPr>
              <w:spacing w:after="0"/>
              <w:rPr>
                <w:sz w:val="1"/>
                <w:szCs w:val="1"/>
                <w:color w:val="auto"/>
              </w:rPr>
            </w:pPr>
          </w:p>
        </w:tc>
      </w:tr>
      <w:tr>
        <w:trPr>
          <w:trHeight w:val="142"/>
        </w:trPr>
        <w:tc>
          <w:tcPr>
            <w:tcW w:w="428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right="180" w:hanging="531"/>
        <w:spacing w:after="0" w:line="318" w:lineRule="auto"/>
        <w:tabs>
          <w:tab w:leader="none" w:pos="1680" w:val="left"/>
        </w:tabs>
        <w:numPr>
          <w:ilvl w:val="0"/>
          <w:numId w:val="3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7"/>
              </w:rPr>
              <w:t>As of January 31,</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3"/>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gridSpan w:val="3"/>
            <w:vMerge w:val="restart"/>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462"/>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157,588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113,159</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116,500</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92,451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195,891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156,813</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174,432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157,916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0"/>
              </w:rPr>
              <w:t>Long-term debt, current and non-current, net of debt issuance costs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346,428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(185,783)</w:t>
            </w:r>
          </w:p>
        </w:tc>
        <w:tc>
          <w:tcPr>
            <w:tcW w:w="10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(259,269)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(347,401)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(393,170)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(171,013)</w:t>
            </w:r>
          </w:p>
        </w:tc>
        <w:tc>
          <w:tcPr>
            <w:tcW w:w="1080" w:type="dxa"/>
            <w:vAlign w:val="bottom"/>
            <w:gridSpan w:val="3"/>
          </w:tcPr>
          <w:p>
            <w:pPr>
              <w:jc w:val="right"/>
              <w:ind w:right="18"/>
              <w:spacing w:after="0"/>
              <w:rPr>
                <w:sz w:val="20"/>
                <w:szCs w:val="20"/>
                <w:color w:val="auto"/>
              </w:rPr>
            </w:pPr>
            <w:r>
              <w:rPr>
                <w:rFonts w:ascii="Arial" w:cs="Arial" w:eastAsia="Arial" w:hAnsi="Arial"/>
                <w:sz w:val="18"/>
                <w:szCs w:val="18"/>
                <w:color w:val="auto"/>
              </w:rPr>
              <w:t>(228,505)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(286,514)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(318,197)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040" w:type="dxa"/>
            <w:vAlign w:val="bottom"/>
            <w:gridSpan w:val="2"/>
          </w:tcPr>
          <w:p>
            <w:pPr>
              <w:jc w:val="right"/>
              <w:ind w:right="152"/>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Our fiscal year ends January 31.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Our founders were frustrated by the challenges of working with legacy database offerings and started our company in 2007 with the goal of creating a modern database platform to address these challenges while maintaining the best aspects of relational databases. We have historically invested significant amounts in research and development to build our platform.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founding, we have achieved the following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148590</wp:posOffset>
            </wp:positionV>
            <wp:extent cx="4296410" cy="2040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9641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2009:</w:t>
        <w:tab/>
        <w:t>MongoDB Community Server version 0.9 released</w:t>
      </w:r>
    </w:p>
    <w:p>
      <w:pPr>
        <w:spacing w:after="0" w:line="15"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2011:</w:t>
        <w:tab/>
        <w:t>Launched MongoDB's first cloud management tools</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2012:</w:t>
        <w:tab/>
        <w:t>Began providing 24x365 technical support</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2013:</w:t>
        <w:tab/>
        <w:t>Introduced first commercial version of MongoDB Enterprise Database Server</w:t>
      </w:r>
    </w:p>
    <w:p>
      <w:pPr>
        <w:spacing w:after="0" w:line="9" w:lineRule="exact"/>
        <w:rPr>
          <w:sz w:val="20"/>
          <w:szCs w:val="20"/>
          <w:color w:val="auto"/>
        </w:rPr>
      </w:pPr>
    </w:p>
    <w:p>
      <w:pPr>
        <w:ind w:left="2540" w:right="2380" w:hanging="599"/>
        <w:spacing w:after="0" w:line="250" w:lineRule="auto"/>
        <w:tabs>
          <w:tab w:leader="none" w:pos="2520" w:val="left"/>
        </w:tabs>
        <w:rPr>
          <w:sz w:val="20"/>
          <w:szCs w:val="20"/>
          <w:color w:val="auto"/>
        </w:rPr>
      </w:pPr>
      <w:r>
        <w:rPr>
          <w:rFonts w:ascii="Arial" w:cs="Arial" w:eastAsia="Arial" w:hAnsi="Arial"/>
          <w:sz w:val="18"/>
          <w:szCs w:val="18"/>
          <w:color w:val="auto"/>
        </w:rPr>
        <w:t>2014:</w:t>
        <w:tab/>
        <w:t>Acquired WiredTiger, a storage engine, to expand the breadth of use cases supported on our platform</w:t>
      </w:r>
    </w:p>
    <w:p>
      <w:pPr>
        <w:spacing w:after="0" w:line="1" w:lineRule="exact"/>
        <w:rPr>
          <w:sz w:val="20"/>
          <w:szCs w:val="20"/>
          <w:color w:val="auto"/>
        </w:rPr>
      </w:pPr>
    </w:p>
    <w:p>
      <w:pPr>
        <w:ind w:left="2540" w:right="2400" w:hanging="599"/>
        <w:spacing w:after="0" w:line="250" w:lineRule="auto"/>
        <w:tabs>
          <w:tab w:leader="none" w:pos="2520" w:val="left"/>
        </w:tabs>
        <w:rPr>
          <w:sz w:val="20"/>
          <w:szCs w:val="20"/>
          <w:color w:val="auto"/>
        </w:rPr>
      </w:pPr>
      <w:r>
        <w:rPr>
          <w:rFonts w:ascii="Arial" w:cs="Arial" w:eastAsia="Arial" w:hAnsi="Arial"/>
          <w:sz w:val="18"/>
          <w:szCs w:val="18"/>
          <w:color w:val="auto"/>
        </w:rPr>
        <w:t>2015:</w:t>
        <w:tab/>
        <w:t>Introduced MongoDB Compass, our graphical user interface and our analytics integrations, including Connector for BI</w:t>
      </w:r>
    </w:p>
    <w:p>
      <w:pPr>
        <w:spacing w:after="0" w:line="1" w:lineRule="exact"/>
        <w:rPr>
          <w:sz w:val="20"/>
          <w:szCs w:val="20"/>
          <w:color w:val="auto"/>
        </w:rPr>
      </w:pPr>
    </w:p>
    <w:p>
      <w:pPr>
        <w:ind w:left="2540" w:right="2400" w:hanging="599"/>
        <w:spacing w:after="0" w:line="250" w:lineRule="auto"/>
        <w:tabs>
          <w:tab w:leader="none" w:pos="2520" w:val="left"/>
        </w:tabs>
        <w:rPr>
          <w:sz w:val="20"/>
          <w:szCs w:val="20"/>
          <w:color w:val="auto"/>
        </w:rPr>
      </w:pPr>
      <w:r>
        <w:rPr>
          <w:rFonts w:ascii="Arial" w:cs="Arial" w:eastAsia="Arial" w:hAnsi="Arial"/>
          <w:sz w:val="18"/>
          <w:szCs w:val="18"/>
          <w:color w:val="auto"/>
        </w:rPr>
        <w:t>2016:</w:t>
        <w:tab/>
        <w:t>Launched MongoDB Atlas, our database-as-a-service, or DBaaS, offering, and released the latest version of our platform</w:t>
      </w:r>
    </w:p>
    <w:p>
      <w:pPr>
        <w:spacing w:after="0" w:line="1" w:lineRule="exact"/>
        <w:rPr>
          <w:sz w:val="20"/>
          <w:szCs w:val="20"/>
          <w:color w:val="auto"/>
        </w:rPr>
      </w:pPr>
    </w:p>
    <w:p>
      <w:pPr>
        <w:ind w:left="2540" w:right="2520" w:hanging="599"/>
        <w:spacing w:after="0" w:line="323" w:lineRule="auto"/>
        <w:tabs>
          <w:tab w:leader="none" w:pos="2520" w:val="left"/>
        </w:tabs>
        <w:rPr>
          <w:sz w:val="20"/>
          <w:szCs w:val="20"/>
          <w:color w:val="auto"/>
        </w:rPr>
      </w:pPr>
      <w:r>
        <w:rPr>
          <w:rFonts w:ascii="Arial" w:cs="Arial" w:eastAsia="Arial" w:hAnsi="Arial"/>
          <w:sz w:val="16"/>
          <w:szCs w:val="16"/>
          <w:color w:val="auto"/>
        </w:rPr>
        <w:t>2017:</w:t>
        <w:tab/>
        <w:t>Surpassed 4,000 customers and expanded MongoDB Atlas to all three major public cloud providers, offering customers multiple deployment options to avoid vendor lock-in</w:t>
      </w:r>
    </w:p>
    <w:p>
      <w:pPr>
        <w:spacing w:after="0" w:line="14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generate revenue primarily from sales of subscriptions, which accounted for 90% and 91% of our total revenue in fiscal year 2017 and the six months ended July 31, 2017, respectively. Our primary subscription package is MongoDB Enterprise Advanced, which represented 71% and 69% of our subscription revenue in fiscal year 2017 and the six months ended July 31, 2017, respectively.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70"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an open source offering, analogous to a "freemium" offering. Community Server is a free-to-download version of our database that includes the core functionality developers need to get started with MongoDB but not all of the features of our commercial platform.</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Many of our enterprise customers initially get to know our software by using Community Server.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into multi-year subscriptions. When we enter into multi-year subscriptions, we typically invoice the customer on an annual basis.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introduced MongoDB Atlas in June 2016. MongoDB Atlas is our cloud hosted DBaaS offering that includes comprehensive infrastructure and management of Community Server. It represented 1% of our total revenue in fiscal year 2017 and 4% of our total revenue for the six months ended July 31, 2017. MongoDB Atlas is consumption-based and charged monthly to the customer based on usage. Given our platform has been downloaded from our website over 30 million times since February 2009 and over 10 million times in the last 12 months alone, our initial growth strategy for MongoDB Atlas is to convert developers and their organizations who are already using Community Server to become customers of MongoDB Atlas and enjoy the benefits of a managed offering. We have invested significantly in MongoDB Atlas and our ability to drive adoption of MongoDB Atlas is a key component of our growth strategy.</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10% and 9% of our total revenue in fiscal year 2017 and in the six months ended July 31, 2017,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the market for our solutions is large and growing. We have made substantial investments in developing our platform and expanding our sales and marketing footprint. Worldwide, we have offices in 14 countries and our employee base has grown from 472 as of January 31, 2016 to 820 as of July 31, 2017. We intend to continue to invest heavily to grow our business to take advantage of our market opportunity rather than optimizing for profitability or cash flow in the near future.</w:t>
      </w:r>
    </w:p>
    <w:p>
      <w:pPr>
        <w:spacing w:after="0" w:line="19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have experienced rapid growth. As of July 31, 2017, we had over 4,300 customers across a wide range of industries and in more than 85 countries, compared to over 1,700 and 3,200 customers as of January 31, 2016 and 2017, respectively. Our customers include over half of the Global Fortune 100 companies. For the fiscal years ended January 31, 2015, 2016 and 2017, our total revenue was $40.8 million, $65.3 million and $101.4 million, respectively, representing year-over-year growth of 60% for fiscal year 2016 and 55% for fiscal year 2017. For the six months ended July 31, 2017, our total revenue was $68.0 million. We believe our net annual recurring revenue, or ARR, expansion rate, which has been over 120% for each of the last ten fiscal quarters, demonstrates the attractiveness of our platform to our customers. See the section titled "—Cohort Analysis" below for a description of ARR and a discussion of net ARR expansion rate. Our net loss was $76.7 million, $73.5 million, $86.7 million and $45.8 million, for fiscal years 2015, 2016 and 2017 and the six months ended July 31, 2017, respectively. Our operating cash flow was $(62.0) million, $(47.0) million, $(38.1) million and $(26.9) million, for fiscal years 2015, 2016 and 2017 and the six months ended July 31, 2017, respectively. Our free cash flow was $(64.7) million, $(47.4) million, $(39.8) million and $(28.5) million, for fiscal years 2015, 2016 and 2017 and the six months ended July 31, 2017, respectively. See the section titled "—Liquidity and Capital Resources—Non-GAAP Free Cash Flow" below.</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To manage our growth effectively, we must continue to improve and expand our operational, financial, and management processes and controls, and our reporting systems and procedures, which will require significant expenditures and allocation of valuable management and employee resources. We will also need to continue to hire, retain and motivate qualified personnel to support our growth. Additionally, we face intense competition in the database software market. To compete successfully, we need to continue to invest in our product offerings and our sales and marketing teams with the goal of driving customer adoption. If we are unable to successfully address these challenges, our business, results of operations and financial condition could be adversely affected.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Product Leadership and Maintaining Developer Mindshare</w:t>
      </w:r>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recently introduced MongoDB Atlas, an important part of our run-anywhere solution, to capitalize on the existing demand for a managed version of our Community Server offering which many companies currently self-deploy and manage in the cloud. We have also introduced an encrypted storage engine to secure data natively within our platform, allowing customers to utilize our platform for applications in highly regulated industries with specific and rigorous security requirements. We intend to continue to invest in our engineering capabilities and marketing activities to maintain our strong position in the developer community. We have spent</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$196.8 million on research and development since our inception. Our results of operations may fluctuate as we make these investments to drive increased customer adoption and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Customer Base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intensely focused on continuing to grow our customer base. We have invested, and expect to continue to invest, heavily in our sales and marketing efforts and developer community outreach, which are critical to driving customer acquisition. As of July 31, 2017, we had over 4,300 customers in over 85 countries, which spanned across organizations of all sizes and industries, compared to over 1,700 and 3,200 customers as of January 31, 2016 and 2017, respectively. All affiliated entities are counted as a single customer. As of July 31, 2017, we had over 1,350 customers that were sold through our direct sales force and channel partners, as compared to over 900 and over 1,200 such customers as of January 31, 2016 and 2017, respectively. These customers, which we refer to as our Direct Customers, accounted for 96%, 95% and 92% of our subscription revenue for the fiscal years ended January 31, 2016 and 2017 and the six months ended July 31, 2017, respectively. We are also focused on increasing the number of MongoDB Atlas customers, which was over 1,900 as of July 31, 2017, just 13 months since its launch.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As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In addition, self-service customers have begun to increase their consumption of our products, particularly MongoDB Atlas. For self-service customers, we measure their annualized MRR, or monthly recurring revenue, which is calculated by annualizing their usage of our self-serve products in the prior 30 days and assuming no increases or reductions in their usage. The number of customers with $100,000 or greater in ARR and annualized MRR was 110, 164, 246 and 296 as of January 31, 2015, 2016 and 2017 and July 31, 2017,</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respectively. See the section titled "—Cohort Analysis" below for a description of ARR.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MongoDB Atlas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June 2016, we introduced MongoDB Atlas. This hosted cloud offering is an important part of our run-anywhere solution and allows us to generate revenue from Community Server, converting users who do not need all of the benefits of MongoDB Enterprise Advanced to customers. To accelerate adoption of this DBaaS offering, we recently introduced tools to easily migrate existing users of our Community Server offering to MongoDB Atlas. We also recently introduced a free tier for MongoDB Atlas that includes limited processing power and storage to drive usage and adoption of MongoDB Atlas among developers.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and Scaling Our Business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from 174 employees as of January 31, 2016 to 324 employees as of July 31, 2017. We expect to use the proceeds from this offering, in part, to fund this growth and do not expect to be profitable in the near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Cohort and Contribution Margin Analyses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Customer Cohort Analyses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 history of attracting new customers and generally increasing their annual spend with us over time by expanding their subscriptions to our platform. Specifically, the chart below illustrates the total ARR from each cohort over the fiscal years presented. We define ARR as the subscription revenue we would contractually expect to receive from customers over the following 12 months assuming no increases or reductions in their subscriptions. ARR excludes MongoDB Atlas, professional services and other self-service products. Each cohort represents customers who made their initial purchase from us in a given fiscal year. For example, the fiscal year 2013 cohort represents all customers who made their initial purchase from us between February 1, 2012 and January 31, 2013. The fiscal year 2013 cohort increased their initial ARR from $5.3 million to $22.1 million in fiscal year 2017, representing a multiple of 4.1x.</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148590</wp:posOffset>
            </wp:positionV>
            <wp:extent cx="5282565" cy="3370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8256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as of January 31, 2017, the ARR from our top 25 customers who became customers prior to fiscal year 2017 had increased 12.3x on average as compared to the initial ARR from these customers. All of these customers had ARR in excess of $500,000 as of January 31, 2017.</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further illustrate the land-and-expand economics of our customer relationships, we examine the rate at which our customers increase their subscriptions with us, called net ARR expansion rate. We calculate net ARR expansion rate by dividing the ARR for a given period from customers who were also customers at the close of the same period in the prior year, the base period, by the ARR for the base period from those same customers. As of July 31, 2017, the net ARR expansion rate was 128%. The net ARR expansion rate has been over 120% for each of the last ten fiscal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 Analysis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To provide a further understanding of the economics of our customer relationships, we are providing a contribution margin analysis of the customers we acquired during the fiscal year ended January 31, 2015, which we refer to as the 2015 Cohort. We believe the 2015 Cohort is a fair representation of our overall customer base because it includes customers across industries and geographies and includes customers who have expanded their subscriptions as well as those who have reduced or not renewed their subscriptions. We define contribution margin as the ARR of subscription commitments from the customer cohort at the end of a period less the associated cost of subscription revenue and estimated allocated sales and marketing expense, which we collectively refer to as associated costs. We define contribution margin percentage as contribution margin divided by the ARR associated with such cohort in a given period. In this analysis, we exclude revenue and associated costs of our self-service products.</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Cost of subscription revenue primarily includes personnel costs, including salaries, bonuses and benefits, for employees associated with our subscription agreements principally related to technical support and allocated shared costs. Cost of subscription revenue is estimated for a given period by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multiplying the cost of subscription revenue as a percentage of subscription revenue for that period by the ARR in such period. Estimated allocated sales and marketing expense includes personnel costs, including salaries, sales commissions and benefits, and marketing program expenses associated with the sales and marketing efforts to increase ARR through acquiring new customers or expanding subscriptions of existing customers. A majority of our sales and marketing expense is typically associated with the newest cohort in a given period. We attribute estimated allocated sales and marketing expense to the period when a customer begins a new subscription with us. Cost of subscription revenue and estimated allocated sales and marketing expense included in this contribution margin analysis exclude share-based compensation. In addition, we exclude all research and development and general and administrative expenses from this analysis because these expenses support the growth of our business broadly and benefit all customers.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end of fiscal year 2015, the 2015 Cohort accounted for $11.5 million in ARR and $24.3 million in associated costs, representing a contribution margin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($12.8) million, or a contribution margin percentage of (111)%. At the end of fiscal year 2016, the 2015 Cohort accounted for $12.8 million in ARR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 million in associated costs, representing a contribution margin of $7.6 million, or a contribution margin percentage of 59%. At the end of fiscal year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2015 Cohort accounted for $19.5 million in ARR and $7.8 million in associated costs, representing a contribution margin of $11.7 million, or a contribution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 percentage of 60%. These metrics are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144145</wp:posOffset>
            </wp:positionV>
            <wp:extent cx="4562475" cy="2881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6247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60" w:firstLine="348"/>
        <w:spacing w:after="0" w:line="255" w:lineRule="auto"/>
        <w:rPr>
          <w:sz w:val="20"/>
          <w:szCs w:val="20"/>
          <w:color w:val="auto"/>
        </w:rPr>
      </w:pPr>
      <w:r>
        <w:rPr>
          <w:rFonts w:ascii="Arial" w:cs="Arial" w:eastAsia="Arial" w:hAnsi="Arial"/>
          <w:sz w:val="18"/>
          <w:szCs w:val="18"/>
          <w:color w:val="auto"/>
        </w:rPr>
        <w:t>We expect that the contribution margin and contribution margin percentage of our customer cohorts will fluctuate from one period to another depending upon the number of customers remaining in each cohort, our ability to increase their ARR, other changes in their subscriptions, as well as changes in our associated costs. We may not experience similar financial outcomes from future customers. We do not have consistent corresponding information for prior historical periods that would allow us to present additional historical cohorts, and the ARR, associated costs, contribution margins and contribution margin percentages from such cohorts could vary.</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relationship of ARR to associated costs is not necessarily indicative of future performance, and we cannot predict whether future contribution margin analyses will be similar to the above analysis. Other companies may calculate contribution margin differently and, therefore, the analyses of other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companies may not be directly comparable to ours. We have not yet achieved profitability, and even if our revenue exceeds our associated costs over time, we may not be able to achieve or maintain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revenue primarily from subscriptions and, to a lesser extent, services.</w:t>
      </w:r>
    </w:p>
    <w:p>
      <w:pPr>
        <w:spacing w:after="0" w:line="225"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Subscription Revenue. </w:t>
      </w:r>
      <w:r>
        <w:rPr>
          <w:rFonts w:ascii="Arial" w:cs="Arial" w:eastAsia="Arial" w:hAnsi="Arial"/>
          <w:sz w:val="15"/>
          <w:szCs w:val="15"/>
          <w:color w:val="auto"/>
        </w:rPr>
        <w:t>Our subscription revenue is comprised of term licenses and hosted as-a-service solutions. Subscriptions to term licenses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technical support and access to new software versions on a when-and-if available basis. Revenue from our term licenses is recognized ratably and is typically billed annually in advance. Revenue from our hosted as-a-service solutions is primarily generated on a usage basis and is billed either in arrears or paid up front.</w:t>
      </w:r>
    </w:p>
    <w:p>
      <w:pPr>
        <w:spacing w:after="0" w:line="14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 if sold on a stand-alone basis and ratably over the contractual period if sold as a bundled element along with our subscriptions.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consumption-based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personnel costs, including salaries, bonuses and benefits,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employees associated with our subscription arrangements principally related to technical support and allocated shared costs, as well as depreciation and amortization. Our cost of subscription revenue for our hosted as-a-service solutions includes third-party hosting infrastructure and overhead. We expect our cost of subscription revenue to increase in absolute dollars as our subscription revenue increases and, depending on the results of MongoDB Atlas, may increase as a percentage of subscription revenue as well.</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stock-based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5"/>
          <w:szCs w:val="15"/>
          <w:color w:val="auto"/>
        </w:rPr>
        <w:t>Gross profit represents revenue less cost of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channel program.</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6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begin to operate as a publicly-traded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At January 31, 2017, we had net operating loss, or NOL, carryforwards for federal, state and Irish income tax purposes of $175.6 million,</w:t>
      </w:r>
    </w:p>
    <w:p>
      <w:pPr>
        <w:ind w:right="20"/>
        <w:spacing w:after="0" w:line="288" w:lineRule="auto"/>
        <w:rPr>
          <w:sz w:val="20"/>
          <w:szCs w:val="20"/>
          <w:color w:val="auto"/>
        </w:rPr>
      </w:pPr>
      <w:r>
        <w:rPr>
          <w:rFonts w:ascii="Arial" w:cs="Arial" w:eastAsia="Arial" w:hAnsi="Arial"/>
          <w:sz w:val="16"/>
          <w:szCs w:val="16"/>
          <w:color w:val="auto"/>
        </w:rPr>
        <w:t>$138.6 million and $119.3 million, respectively, which begin to expire in the year ending January 31, 2028 for federal purposes and in the year ending January 31, 2021 for state purposes. Ireland allows NOLs to be carried forward indefinitely. Under Section 382 of the U.S. Internal Revenue Code of 1986, or Code, a corporation that experiences an "ownership change" is subject to a limitation on its ability to utilize its pre-change NOLs to offset future taxable income. In April 2017, we completed an analysis under Section 382 to evaluate whether there are any limitations on our NOLs through January 31, 2017 and concluded that the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398"/>
              <w:spacing w:after="0"/>
              <w:rPr>
                <w:sz w:val="20"/>
                <w:szCs w:val="20"/>
                <w:color w:val="auto"/>
              </w:rPr>
            </w:pPr>
            <w:r>
              <w:rPr>
                <w:rFonts w:ascii="Arial" w:cs="Arial" w:eastAsia="Arial" w:hAnsi="Arial"/>
                <w:sz w:val="14"/>
                <w:szCs w:val="14"/>
                <w:b w:val="1"/>
                <w:bCs w:val="1"/>
                <w:color w:val="auto"/>
                <w:w w:val="98"/>
              </w:rPr>
              <w:t>Six Months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19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2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37,454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49,037</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16,704</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157,438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94,567</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(85,947)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(45,409)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(45,964)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(45,176)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(45,288)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(45,326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(45,769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w:t>
            </w:r>
          </w:p>
        </w:tc>
      </w:t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w w:val="88"/>
              </w:rPr>
              <w:t>Ended 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Ended July 31,</w:t>
            </w: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3"/>
          </w:tcPr>
          <w:p>
            <w:pPr>
              <w:jc w:val="right"/>
              <w:ind w:right="17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w:t>
            </w: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w:t>
            </w: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2,697</w:t>
            </w: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2,567</w:t>
            </w: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3,616</w:t>
            </w:r>
          </w:p>
        </w:tc>
      </w:tr>
      <w:tr>
        <w:trPr>
          <w:trHeight w:val="142"/>
        </w:trPr>
        <w:tc>
          <w:tcPr>
            <w:tcW w:w="504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12,283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9,371</w:t>
            </w:r>
          </w:p>
        </w:tc>
        <w:tc>
          <w:tcPr>
            <w:tcW w:w="160" w:type="dxa"/>
            <w:vAlign w:val="bottom"/>
          </w:tcPr>
          <w:p>
            <w:pPr>
              <w:spacing w:after="0"/>
              <w:rPr>
                <w:sz w:val="12"/>
                <w:szCs w:val="12"/>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88"/>
              </w:rPr>
              <w:t>Six Months Ended July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Revenue Data:</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Loss before provision for income taxes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July 31, 2016 and 2017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7"/>
          </w:tcPr>
          <w:p>
            <w:pPr>
              <w:jc w:val="center"/>
              <w:ind w:right="238"/>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77"/>
              </w:rPr>
              <w:t>(dollars in</w:t>
            </w:r>
          </w:p>
        </w:tc>
        <w:tc>
          <w:tcPr>
            <w:tcW w:w="860" w:type="dxa"/>
            <w:vAlign w:val="bottom"/>
            <w:gridSpan w:val="5"/>
          </w:tcPr>
          <w:p>
            <w:pPr>
              <w:jc w:val="right"/>
              <w:ind w:right="28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40,213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61,718</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21,505</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Services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480" w:type="dxa"/>
            <w:vAlign w:val="bottom"/>
            <w:gridSpan w:val="3"/>
          </w:tcPr>
          <w:p>
            <w:pPr>
              <w:ind w:left="300"/>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45,119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67,990</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22,871</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$21.5 million, $11.0 million of which resulted from sales to new customers of which $2.1 million resulted from the launch of MongoDB Atlas, and the remaining balance resulted from sales to existing customers. Increase in services revenue was driven primarily by an increase in sales of professional services to new customers.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July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13,765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59%</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14,303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36%</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30,816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48,603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17,787</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58%</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22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78%</w:t>
            </w: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22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10%</w:t>
            </w: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subscription cost of revenue was primarily due to a $2.5 million increase in third-party hosting infrastructure, primarly associated with the launch of MongoDB Atlas, and a $1.4 million increase in personnel costs associated with increased headcount in our support organization. Total headcount in our support and services organizations increased 29% from July 31, 2016 to July 31, 2017.</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Gross margin increased from 68% in the six months ended July 31, 2016 to 71% in the six months ended July 31, 2017. The increase in gross margin was primarily driven by an increase in services gross margin of 25 percentage points. The services gross margin increase was primarily driven by economies of scale achieved in our services organization.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37,454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49,037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11,583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sales and marketing expense was primarily due to an increase of $9.9 million in personnel costs driven by an increase in sales and marketing headcount of 43%, from 227 as of July 31, 2016 to 324 as of July 31, 2017, and an increase of $0.9 million in marketing programs costs during the six months ended July 31, 2017.</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The increase in research and development expense was primarily driven by an increase of $4.2 million in personnel costs as we increased our R&amp;D headcount, partially offset by a decrease of $0.7 million in stock-based compensation expense due to the option repricing we effected in April 2016.</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general and administrative expense increase was primarily due to an increase in general and administrative personnel headcount, resulting in an increase of $3.4 million in personnel costs, and a $0.8 million increase in professional services-related fees, partially offset by a decrease of $1.5 million in stock-based compensation expense due to the option repricing we effected in April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1"/>
              </w:rPr>
              <w:t>(dollars in</w:t>
            </w: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190%</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other income, net was primarily due to an increase in interest income on investments and net gains from foreign currency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Ended July 31,</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(dollars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221%</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2016 and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(dollars in</w:t>
            </w:r>
          </w:p>
        </w:tc>
        <w:tc>
          <w:tcPr>
            <w:tcW w:w="8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58,561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56%</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Services</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55%</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$32.7 million, $11.5 million of which resulted from sales to new customers and the remaining balance resulted from sales to existing customers. Increase in services revenue was driven primarily by an increase in sales of professional services to new customers.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5"/>
              </w:rPr>
              <w:t>January 31,</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13,146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19,352</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47%</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10,515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20,861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29,867</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43%</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44,410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71,491</w:t>
            </w:r>
          </w:p>
        </w:tc>
        <w:tc>
          <w:tcPr>
            <w:tcW w:w="5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27,081</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61%</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260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600" w:type="dxa"/>
            <w:vAlign w:val="bottom"/>
            <w:gridSpan w:val="2"/>
          </w:tcPr>
          <w:p>
            <w:pPr>
              <w:jc w:val="right"/>
              <w:ind w:right="176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60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(4)%</w:t>
            </w:r>
          </w:p>
        </w:tc>
      </w:tr>
    </w:tbl>
    <w:p>
      <w:pPr>
        <w:spacing w:after="0" w:line="208"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The increase in subscription cost of revenue was primarily due to a $4.2 million increase in personnel costs associated with increased headcount in our support organization, a $1.1 million increase in third-party hosting infrastructure, primarily associated with the launch of MongoDB Atlas, and a $0.3 million increase in stock-based compensation. The increase in services cost of revenue was primarily due to a $2.1 million increase in personnel costs associated with increased headcount in our services organization and a $0.2 million increase in stock-based compensation. Total headcount in our support and services organizations increased 50% from January 31, 2016 to January 31, 2017.</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Gross margin increased from 68% in fiscal year 2016 to 71% in fiscal year 2017. The increase in gross margin was primarily driven by an increase in subscription gross margin of one percentage point and an increase in services gross margin of 11 percentage points. The subscription gross margin increase was primarily driven by higher sales volume, our mix of subscriptions sold, and economies of scale in our technical support team. The services gross margin increase was primarily driven by economies of scale achieved in our services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78,584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21,971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increase in sales and marketing expense was primarily due to an increase of $14.5 million in personnel costs, including an increase in commission expenses of $5.5 million, and an increase of $2.0 million in stock-based compensation expense, both driven by an increase in sales and marketing headcount of 61% from 174 as of January 31, 2016 to 280 as of January 31, 2017. The remainder of the increase was primarily attributable to an increase of $2.4 million in travel expenses and of $1.6 million in marketing programs.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43,465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51,772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8,307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vMerge w:val="restart"/>
          </w:tcPr>
          <w:p>
            <w:pPr>
              <w:jc w:val="right"/>
              <w:ind w:right="812"/>
              <w:spacing w:after="0"/>
              <w:rPr>
                <w:sz w:val="20"/>
                <w:szCs w:val="20"/>
                <w:color w:val="auto"/>
              </w:rPr>
            </w:pPr>
            <w:r>
              <w:rPr>
                <w:rFonts w:ascii="Arial" w:cs="Arial" w:eastAsia="Arial" w:hAnsi="Arial"/>
                <w:sz w:val="18"/>
                <w:szCs w:val="18"/>
                <w:color w:val="auto"/>
              </w:rPr>
              <w:t>73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increase in research and development expense was primarily driven by an increase of $5.4 million in personnel costs and an increase of $1.7 million in stock-based compensation expense, as we increased our R&amp;D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27,082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10,012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general and administrative expense increase was primarily due to an increase in general and administrative personnel headcount, resulting in an increase of $4.0 million in personnel costs. The increase was also driven by a $4.0 million increase in stock-based compensation expense, $2.4 million of which resulted from the option repricing we effected in April 2016, and a $1.8 million increase in facilities-related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(dollars in</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0"/>
        </w:trPr>
        <w:tc>
          <w:tcPr>
            <w:tcW w:w="3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increase in other income (expense), net was primarily due to an increase in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1"/>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tables summarize our selected unaudited quarterly consolidated statements of operations data for each of the ten quarters in the period ended July 31, 2017.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future, and the quarterly results for the six months ended July 31, 2017 are not necessarily indicative of the results that may be expected for the full fiscal year or any other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right"/>
              <w:ind w:right="100"/>
              <w:spacing w:after="0" w:line="129" w:lineRule="exact"/>
              <w:rPr>
                <w:sz w:val="20"/>
                <w:szCs w:val="20"/>
                <w:color w:val="auto"/>
              </w:rPr>
            </w:pPr>
            <w:r>
              <w:rPr>
                <w:rFonts w:ascii="Arial" w:cs="Arial" w:eastAsia="Arial" w:hAnsi="Arial"/>
                <w:sz w:val="14"/>
                <w:szCs w:val="14"/>
                <w:b w:val="1"/>
                <w:bCs w:val="1"/>
                <w:color w:val="auto"/>
                <w:w w:val="90"/>
              </w:rPr>
              <w:t>April 30,</w:t>
            </w:r>
          </w:p>
        </w:tc>
        <w:tc>
          <w:tcPr>
            <w:tcW w:w="40" w:type="dxa"/>
            <w:vAlign w:val="bottom"/>
          </w:tcPr>
          <w:p>
            <w:pPr>
              <w:spacing w:after="0"/>
              <w:rPr>
                <w:sz w:val="11"/>
                <w:szCs w:val="11"/>
                <w:color w:val="auto"/>
              </w:rPr>
            </w:pPr>
          </w:p>
        </w:tc>
        <w:tc>
          <w:tcPr>
            <w:tcW w:w="6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3"/>
              </w:rPr>
              <w:t>July 31,</w:t>
            </w:r>
          </w:p>
        </w:tc>
        <w:tc>
          <w:tcPr>
            <w:tcW w:w="40" w:type="dxa"/>
            <w:vAlign w:val="bottom"/>
          </w:tcPr>
          <w:p>
            <w:pPr>
              <w:spacing w:after="0"/>
              <w:rPr>
                <w:sz w:val="11"/>
                <w:szCs w:val="11"/>
                <w:color w:val="auto"/>
              </w:rPr>
            </w:pPr>
          </w:p>
        </w:tc>
        <w:tc>
          <w:tcPr>
            <w:tcW w:w="8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8"/>
              </w:rPr>
              <w:t>October 31,</w:t>
            </w:r>
          </w:p>
        </w:tc>
        <w:tc>
          <w:tcPr>
            <w:tcW w:w="20" w:type="dxa"/>
            <w:vAlign w:val="bottom"/>
          </w:tcPr>
          <w:p>
            <w:pPr>
              <w:spacing w:after="0"/>
              <w:rPr>
                <w:sz w:val="11"/>
                <w:szCs w:val="11"/>
                <w:color w:val="auto"/>
              </w:rPr>
            </w:pPr>
          </w:p>
        </w:tc>
        <w:tc>
          <w:tcPr>
            <w:tcW w:w="8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January 31,</w:t>
            </w:r>
          </w:p>
        </w:tc>
        <w:tc>
          <w:tcPr>
            <w:tcW w:w="20" w:type="dxa"/>
            <w:vAlign w:val="bottom"/>
          </w:tcPr>
          <w:p>
            <w:pPr>
              <w:spacing w:after="0"/>
              <w:rPr>
                <w:sz w:val="11"/>
                <w:szCs w:val="11"/>
                <w:color w:val="auto"/>
              </w:rPr>
            </w:pPr>
          </w:p>
        </w:tc>
        <w:tc>
          <w:tcPr>
            <w:tcW w:w="6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4"/>
              </w:rPr>
              <w:t>April 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July 31,</w:t>
            </w:r>
          </w:p>
        </w:tc>
        <w:tc>
          <w:tcPr>
            <w:tcW w:w="20" w:type="dxa"/>
            <w:vAlign w:val="bottom"/>
          </w:tcPr>
          <w:p>
            <w:pPr>
              <w:spacing w:after="0"/>
              <w:rPr>
                <w:sz w:val="11"/>
                <w:szCs w:val="11"/>
                <w:color w:val="auto"/>
              </w:rPr>
            </w:pPr>
          </w:p>
        </w:tc>
        <w:tc>
          <w:tcPr>
            <w:tcW w:w="8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October 31,</w:t>
            </w:r>
          </w:p>
        </w:tc>
        <w:tc>
          <w:tcPr>
            <w:tcW w:w="20" w:type="dxa"/>
            <w:vAlign w:val="bottom"/>
          </w:tcPr>
          <w:p>
            <w:pPr>
              <w:spacing w:after="0"/>
              <w:rPr>
                <w:sz w:val="11"/>
                <w:szCs w:val="11"/>
                <w:color w:val="auto"/>
              </w:rPr>
            </w:pPr>
          </w:p>
        </w:tc>
        <w:tc>
          <w:tcPr>
            <w:tcW w:w="84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11"/>
                <w:szCs w:val="11"/>
                <w:color w:val="auto"/>
              </w:rPr>
            </w:pPr>
          </w:p>
        </w:tc>
        <w:tc>
          <w:tcPr>
            <w:tcW w:w="68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6"/>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Subscription</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11,669</w:t>
            </w:r>
          </w:p>
        </w:tc>
        <w:tc>
          <w:tcPr>
            <w:tcW w:w="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14,071</w:t>
            </w:r>
          </w:p>
        </w:tc>
        <w:tc>
          <w:tcPr>
            <w:tcW w:w="40" w:type="dxa"/>
            <w:vAlign w:val="bottom"/>
          </w:tcPr>
          <w:p>
            <w:pPr>
              <w:spacing w:after="0"/>
              <w:rPr>
                <w:sz w:val="12"/>
                <w:szCs w:val="12"/>
                <w:color w:val="auto"/>
              </w:rPr>
            </w:pPr>
          </w:p>
        </w:tc>
        <w:tc>
          <w:tcPr>
            <w:tcW w:w="1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15,703</w:t>
            </w:r>
          </w:p>
        </w:tc>
        <w:tc>
          <w:tcPr>
            <w:tcW w:w="60" w:type="dxa"/>
            <w:vAlign w:val="bottom"/>
          </w:tcPr>
          <w:p>
            <w:pPr>
              <w:spacing w:after="0"/>
              <w:rPr>
                <w:sz w:val="12"/>
                <w:szCs w:val="12"/>
                <w:color w:val="auto"/>
              </w:rPr>
            </w:pPr>
          </w:p>
        </w:tc>
        <w:tc>
          <w:tcPr>
            <w:tcW w:w="1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17,118</w:t>
            </w:r>
          </w:p>
        </w:tc>
        <w:tc>
          <w:tcPr>
            <w:tcW w:w="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19,050</w:t>
            </w: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21,163</w:t>
            </w:r>
          </w:p>
        </w:tc>
        <w:tc>
          <w:tcPr>
            <w:tcW w:w="60" w:type="dxa"/>
            <w:vAlign w:val="bottom"/>
          </w:tcPr>
          <w:p>
            <w:pPr>
              <w:spacing w:after="0"/>
              <w:rPr>
                <w:sz w:val="12"/>
                <w:szCs w:val="12"/>
                <w:color w:val="auto"/>
              </w:rPr>
            </w:pPr>
          </w:p>
        </w:tc>
        <w:tc>
          <w:tcPr>
            <w:tcW w:w="1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23,805</w:t>
            </w:r>
          </w:p>
        </w:tc>
        <w:tc>
          <w:tcPr>
            <w:tcW w:w="60" w:type="dxa"/>
            <w:vAlign w:val="bottom"/>
          </w:tcPr>
          <w:p>
            <w:pPr>
              <w:spacing w:after="0"/>
              <w:rPr>
                <w:sz w:val="12"/>
                <w:szCs w:val="12"/>
                <w:color w:val="auto"/>
              </w:rPr>
            </w:pPr>
          </w:p>
        </w:tc>
        <w:tc>
          <w:tcPr>
            <w:tcW w:w="1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27,217</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29,187</w:t>
            </w: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32,531</w:t>
            </w:r>
          </w:p>
        </w:tc>
        <w:tc>
          <w:tcPr>
            <w:tcW w:w="1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3,069</w:t>
            </w:r>
          </w:p>
        </w:tc>
        <w:tc>
          <w:tcPr>
            <w:tcW w:w="160" w:type="dxa"/>
            <w:vAlign w:val="bottom"/>
            <w:shd w:val="clear" w:color="auto" w:fill="CCEEFF"/>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600" w:type="dxa"/>
            <w:vAlign w:val="bottom"/>
          </w:tcPr>
          <w:p>
            <w:pPr>
              <w:ind w:left="260"/>
              <w:spacing w:after="0" w:line="142" w:lineRule="exact"/>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13,026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15,921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17,145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19,179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21,509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23,610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26,305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29,934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32,390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35,600</w:t>
            </w:r>
          </w:p>
        </w:tc>
        <w:tc>
          <w:tcPr>
            <w:tcW w:w="160" w:type="dxa"/>
            <w:vAlign w:val="bottom"/>
          </w:tcPr>
          <w:p>
            <w:pPr>
              <w:spacing w:after="0"/>
              <w:rPr>
                <w:sz w:val="12"/>
                <w:szCs w:val="12"/>
                <w:color w:val="auto"/>
              </w:rPr>
            </w:pPr>
          </w:p>
        </w:tc>
      </w:tr>
      <w:tr>
        <w:trPr>
          <w:trHeight w:val="176"/>
        </w:trPr>
        <w:tc>
          <w:tcPr>
            <w:tcW w:w="1160" w:type="dxa"/>
            <w:vAlign w:val="bottom"/>
          </w:tcPr>
          <w:p>
            <w:pPr>
              <w:spacing w:after="0"/>
              <w:rPr>
                <w:sz w:val="15"/>
                <w:szCs w:val="15"/>
                <w:color w:val="auto"/>
              </w:rPr>
            </w:pPr>
          </w:p>
        </w:tc>
        <w:tc>
          <w:tcPr>
            <w:tcW w:w="16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Cost of revenue</w:t>
            </w:r>
            <w:r>
              <w:rPr>
                <w:rFonts w:ascii="Arial" w:cs="Arial" w:eastAsia="Arial" w:hAnsi="Arial"/>
                <w:sz w:val="20"/>
                <w:szCs w:val="20"/>
                <w:color w:val="auto"/>
                <w:vertAlign w:val="superscript"/>
              </w:rPr>
              <w:t>(1)</w:t>
            </w: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49"/>
        </w:trPr>
        <w:tc>
          <w:tcPr>
            <w:tcW w:w="116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Subscription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3,402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4,291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4,384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7,215</w:t>
            </w:r>
          </w:p>
        </w:tc>
        <w:tc>
          <w:tcPr>
            <w:tcW w:w="1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2,973</w:t>
            </w:r>
          </w:p>
        </w:tc>
        <w:tc>
          <w:tcPr>
            <w:tcW w:w="160" w:type="dxa"/>
            <w:vAlign w:val="bottom"/>
            <w:shd w:val="clear" w:color="auto" w:fill="CCEEFF"/>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600" w:type="dxa"/>
            <w:vAlign w:val="bottom"/>
          </w:tcPr>
          <w:p>
            <w:pPr>
              <w:ind w:left="260"/>
              <w:spacing w:after="0" w:line="142" w:lineRule="exact"/>
              <w:rPr>
                <w:sz w:val="20"/>
                <w:szCs w:val="20"/>
                <w:color w:val="auto"/>
              </w:rPr>
            </w:pPr>
            <w:r>
              <w:rPr>
                <w:rFonts w:ascii="Arial" w:cs="Arial" w:eastAsia="Arial" w:hAnsi="Arial"/>
                <w:sz w:val="14"/>
                <w:szCs w:val="14"/>
                <w:color w:val="auto"/>
              </w:rPr>
              <w:t>Total cost of revenue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4,389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5,561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8,345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9,199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10,188</w:t>
            </w:r>
          </w:p>
        </w:tc>
        <w:tc>
          <w:tcPr>
            <w:tcW w:w="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8,637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10,860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11,584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14,579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16,237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19,086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23,191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25,412</w:t>
            </w:r>
          </w:p>
        </w:tc>
        <w:tc>
          <w:tcPr>
            <w:tcW w:w="160" w:type="dxa"/>
            <w:vAlign w:val="bottom"/>
            <w:shd w:val="clear" w:color="auto" w:fill="CCEEFF"/>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6"/>
        </w:trPr>
        <w:tc>
          <w:tcPr>
            <w:tcW w:w="1160" w:type="dxa"/>
            <w:vAlign w:val="bottom"/>
          </w:tcPr>
          <w:p>
            <w:pPr>
              <w:spacing w:after="0"/>
              <w:rPr>
                <w:sz w:val="15"/>
                <w:szCs w:val="15"/>
                <w:color w:val="auto"/>
              </w:rPr>
            </w:pPr>
          </w:p>
        </w:tc>
        <w:tc>
          <w:tcPr>
            <w:tcW w:w="160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Sales and marketing</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12,633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26,892</w:t>
            </w:r>
          </w:p>
        </w:tc>
        <w:tc>
          <w:tcPr>
            <w:tcW w:w="160" w:type="dxa"/>
            <w:vAlign w:val="bottom"/>
            <w:shd w:val="clear" w:color="auto" w:fill="CCEEFF"/>
          </w:tcPr>
          <w:p>
            <w:pPr>
              <w:spacing w:after="0"/>
              <w:rPr>
                <w:sz w:val="15"/>
                <w:szCs w:val="15"/>
                <w:color w:val="auto"/>
              </w:rPr>
            </w:pPr>
          </w:p>
        </w:tc>
      </w:tr>
      <w:tr>
        <w:trPr>
          <w:trHeight w:val="133"/>
        </w:trPr>
        <w:tc>
          <w:tcPr>
            <w:tcW w:w="1160" w:type="dxa"/>
            <w:vAlign w:val="bottom"/>
          </w:tcPr>
          <w:p>
            <w:pPr>
              <w:spacing w:after="0"/>
              <w:rPr>
                <w:sz w:val="11"/>
                <w:szCs w:val="11"/>
                <w:color w:val="auto"/>
              </w:rPr>
            </w:pPr>
          </w:p>
        </w:tc>
        <w:tc>
          <w:tcPr>
            <w:tcW w:w="1600" w:type="dxa"/>
            <w:vAlign w:val="bottom"/>
          </w:tcPr>
          <w:p>
            <w:pPr>
              <w:ind w:left="120"/>
              <w:spacing w:after="0" w:line="133" w:lineRule="exact"/>
              <w:rPr>
                <w:sz w:val="20"/>
                <w:szCs w:val="20"/>
                <w:color w:val="auto"/>
              </w:rPr>
            </w:pPr>
            <w:r>
              <w:rPr>
                <w:rFonts w:ascii="Arial" w:cs="Arial" w:eastAsia="Arial" w:hAnsi="Arial"/>
                <w:sz w:val="14"/>
                <w:szCs w:val="14"/>
                <w:color w:val="auto"/>
              </w:rPr>
              <w:t>Research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91"/>
        </w:trPr>
        <w:tc>
          <w:tcPr>
            <w:tcW w:w="1160" w:type="dxa"/>
            <w:vAlign w:val="bottom"/>
          </w:tcPr>
          <w:p>
            <w:pPr>
              <w:spacing w:after="0"/>
              <w:rPr>
                <w:sz w:val="16"/>
                <w:szCs w:val="16"/>
                <w:color w:val="auto"/>
              </w:rPr>
            </w:pPr>
          </w:p>
        </w:tc>
        <w:tc>
          <w:tcPr>
            <w:tcW w:w="1600" w:type="dxa"/>
            <w:vAlign w:val="bottom"/>
          </w:tcPr>
          <w:p>
            <w:pPr>
              <w:ind w:left="240"/>
              <w:spacing w:after="0" w:line="191" w:lineRule="exact"/>
              <w:rPr>
                <w:sz w:val="20"/>
                <w:szCs w:val="20"/>
                <w:color w:val="auto"/>
              </w:rPr>
            </w:pPr>
            <w:r>
              <w:rPr>
                <w:rFonts w:ascii="Arial" w:cs="Arial" w:eastAsia="Arial" w:hAnsi="Arial"/>
                <w:sz w:val="14"/>
                <w:szCs w:val="14"/>
                <w:color w:val="auto"/>
              </w:rPr>
              <w:t>development</w:t>
            </w:r>
            <w:r>
              <w:rPr>
                <w:rFonts w:ascii="Arial" w:cs="Arial" w:eastAsia="Arial" w:hAnsi="Arial"/>
                <w:sz w:val="22"/>
                <w:szCs w:val="22"/>
                <w:color w:val="auto"/>
                <w:vertAlign w:val="superscript"/>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11,185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10,784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10,692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12,000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13,240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13,077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15,749</w:t>
            </w:r>
          </w:p>
        </w:tc>
        <w:tc>
          <w:tcPr>
            <w:tcW w:w="160" w:type="dxa"/>
            <w:vAlign w:val="bottom"/>
          </w:tcPr>
          <w:p>
            <w:pPr>
              <w:spacing w:after="0"/>
              <w:rPr>
                <w:sz w:val="16"/>
                <w:szCs w:val="16"/>
                <w:color w:val="auto"/>
              </w:rPr>
            </w:pPr>
          </w:p>
        </w:tc>
      </w:tr>
      <w:tr>
        <w:trPr>
          <w:trHeight w:val="133"/>
        </w:trPr>
        <w:tc>
          <w:tcPr>
            <w:tcW w:w="1160" w:type="dxa"/>
            <w:vAlign w:val="bottom"/>
          </w:tcPr>
          <w:p>
            <w:pPr>
              <w:spacing w:after="0"/>
              <w:rPr>
                <w:sz w:val="11"/>
                <w:szCs w:val="11"/>
                <w:color w:val="auto"/>
              </w:rPr>
            </w:pPr>
          </w:p>
        </w:tc>
        <w:tc>
          <w:tcPr>
            <w:tcW w:w="160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rPr>
              <w:t>General and</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91"/>
        </w:trPr>
        <w:tc>
          <w:tcPr>
            <w:tcW w:w="1160" w:type="dxa"/>
            <w:vAlign w:val="bottom"/>
          </w:tcPr>
          <w:p>
            <w:pPr>
              <w:spacing w:after="0"/>
              <w:rPr>
                <w:sz w:val="16"/>
                <w:szCs w:val="16"/>
                <w:color w:val="auto"/>
              </w:rPr>
            </w:pPr>
          </w:p>
        </w:tc>
        <w:tc>
          <w:tcPr>
            <w:tcW w:w="1600" w:type="dxa"/>
            <w:vAlign w:val="bottom"/>
            <w:shd w:val="clear" w:color="auto" w:fill="CCEEFF"/>
          </w:tcPr>
          <w:p>
            <w:pPr>
              <w:ind w:left="240"/>
              <w:spacing w:after="0" w:line="191" w:lineRule="exact"/>
              <w:rPr>
                <w:sz w:val="20"/>
                <w:szCs w:val="20"/>
                <w:color w:val="auto"/>
              </w:rPr>
            </w:pPr>
            <w:r>
              <w:rPr>
                <w:rFonts w:ascii="Arial" w:cs="Arial" w:eastAsia="Arial" w:hAnsi="Arial"/>
                <w:sz w:val="14"/>
                <w:szCs w:val="14"/>
                <w:color w:val="auto"/>
              </w:rPr>
              <w:t>administrative</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4,048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160" w:type="dxa"/>
            <w:vAlign w:val="bottom"/>
            <w:shd w:val="clear" w:color="auto" w:fill="CCEEFF"/>
          </w:tcPr>
          <w:p>
            <w:pPr>
              <w:spacing w:after="0"/>
              <w:rPr>
                <w:sz w:val="16"/>
                <w:szCs w:val="16"/>
                <w:color w:val="auto"/>
              </w:rPr>
            </w:pPr>
          </w:p>
        </w:tc>
      </w:tr>
      <w:tr>
        <w:trPr>
          <w:trHeight w:val="131"/>
        </w:trPr>
        <w:tc>
          <w:tcPr>
            <w:tcW w:w="1160" w:type="dxa"/>
            <w:vAlign w:val="bottom"/>
          </w:tcPr>
          <w:p>
            <w:pPr>
              <w:spacing w:after="0"/>
              <w:rPr>
                <w:sz w:val="11"/>
                <w:szCs w:val="11"/>
                <w:color w:val="auto"/>
              </w:rPr>
            </w:pPr>
          </w:p>
        </w:tc>
        <w:tc>
          <w:tcPr>
            <w:tcW w:w="1600" w:type="dxa"/>
            <w:vAlign w:val="bottom"/>
          </w:tcPr>
          <w:p>
            <w:pPr>
              <w:ind w:left="260"/>
              <w:spacing w:after="0" w:line="131" w:lineRule="exact"/>
              <w:rPr>
                <w:sz w:val="20"/>
                <w:szCs w:val="20"/>
                <w:color w:val="auto"/>
              </w:rPr>
            </w:pPr>
            <w:r>
              <w:rPr>
                <w:rFonts w:ascii="Arial" w:cs="Arial" w:eastAsia="Arial" w:hAnsi="Arial"/>
                <w:sz w:val="14"/>
                <w:szCs w:val="14"/>
                <w:color w:val="auto"/>
              </w:rPr>
              <w:t>Total operating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1160" w:type="dxa"/>
            <w:vAlign w:val="bottom"/>
          </w:tcPr>
          <w:p>
            <w:pPr>
              <w:spacing w:after="0"/>
              <w:rPr>
                <w:sz w:val="13"/>
                <w:szCs w:val="13"/>
                <w:color w:val="auto"/>
              </w:rPr>
            </w:pPr>
          </w:p>
        </w:tc>
        <w:tc>
          <w:tcPr>
            <w:tcW w:w="1600" w:type="dxa"/>
            <w:vAlign w:val="bottom"/>
          </w:tcPr>
          <w:p>
            <w:pPr>
              <w:ind w:left="380"/>
              <w:spacing w:after="0" w:line="15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27,866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29,108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29,881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30,293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36,599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39,626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38,341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42,872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42,993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51,574</w:t>
            </w:r>
          </w:p>
        </w:tc>
        <w:tc>
          <w:tcPr>
            <w:tcW w:w="160" w:type="dxa"/>
            <w:vAlign w:val="bottom"/>
          </w:tcPr>
          <w:p>
            <w:pPr>
              <w:spacing w:after="0"/>
              <w:rPr>
                <w:sz w:val="13"/>
                <w:szCs w:val="13"/>
                <w:color w:val="auto"/>
              </w:rPr>
            </w:pPr>
          </w:p>
        </w:tc>
      </w:tr>
      <w:tr>
        <w:trPr>
          <w:trHeight w:val="142"/>
        </w:trPr>
        <w:tc>
          <w:tcPr>
            <w:tcW w:w="1160" w:type="dxa"/>
            <w:vAlign w:val="bottom"/>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Loss from operations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1"/>
              </w:rPr>
              <w:t>(19,229)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(18,248)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(18,297)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(16,964)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9"/>
              </w:rPr>
              <w:t>(22,020)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(23,389)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(19,255)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(21,283)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9"/>
              </w:rPr>
              <w:t>(19,802)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(26,162)</w:t>
            </w:r>
          </w:p>
        </w:tc>
      </w:tr>
      <w:tr>
        <w:trPr>
          <w:trHeight w:val="149"/>
        </w:trPr>
        <w:tc>
          <w:tcPr>
            <w:tcW w:w="1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89"/>
              </w:rPr>
              <w:t>Other income (expense),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60" w:type="dxa"/>
            <w:vAlign w:val="bottom"/>
          </w:tcPr>
          <w:p>
            <w:pPr>
              <w:spacing w:after="0"/>
              <w:rPr>
                <w:sz w:val="12"/>
                <w:szCs w:val="12"/>
                <w:color w:val="auto"/>
              </w:rPr>
            </w:pPr>
          </w:p>
        </w:tc>
      </w:tr>
      <w:tr>
        <w:trPr>
          <w:trHeight w:val="131"/>
        </w:trPr>
        <w:tc>
          <w:tcPr>
            <w:tcW w:w="1160" w:type="dxa"/>
            <w:vAlign w:val="bottom"/>
          </w:tcPr>
          <w:p>
            <w:pPr>
              <w:spacing w:after="0"/>
              <w:rPr>
                <w:sz w:val="11"/>
                <w:szCs w:val="11"/>
                <w:color w:val="auto"/>
              </w:rPr>
            </w:pPr>
          </w:p>
        </w:tc>
        <w:tc>
          <w:tcPr>
            <w:tcW w:w="16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Loss before provision for</w:t>
            </w: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1160" w:type="dxa"/>
            <w:vAlign w:val="bottom"/>
          </w:tcPr>
          <w:p>
            <w:pPr>
              <w:spacing w:after="0"/>
              <w:rPr>
                <w:sz w:val="13"/>
                <w:szCs w:val="13"/>
                <w:color w:val="auto"/>
              </w:rPr>
            </w:pPr>
          </w:p>
        </w:tc>
        <w:tc>
          <w:tcPr>
            <w:tcW w:w="16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1"/>
              </w:rPr>
              <w:t>(19,205)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(18,312)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(18,341)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(17,186)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9"/>
              </w:rPr>
              <w:t>(21,465)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(23,711)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(19,432)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(21,354)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9"/>
              </w:rPr>
              <w:t>(19,461)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(25,827)</w:t>
            </w:r>
          </w:p>
        </w:tc>
      </w:tr>
      <w:tr>
        <w:trPr>
          <w:trHeight w:val="149"/>
        </w:trPr>
        <w:tc>
          <w:tcPr>
            <w:tcW w:w="1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6"/>
              </w:rPr>
              <w:t>Provision for income taxes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(19,277) $</w:t>
            </w:r>
          </w:p>
        </w:tc>
        <w:tc>
          <w:tcPr>
            <w:tcW w:w="700" w:type="dxa"/>
            <w:vAlign w:val="bottom"/>
            <w:gridSpan w:val="4"/>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3"/>
              </w:rPr>
              <w:t>(18,454) $</w:t>
            </w: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(18,469)</w:t>
            </w:r>
          </w:p>
        </w:tc>
        <w:tc>
          <w:tcPr>
            <w:tcW w:w="1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(17,286)</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(21,548) $</w:t>
            </w:r>
          </w:p>
        </w:tc>
        <w:tc>
          <w:tcPr>
            <w:tcW w:w="780" w:type="dxa"/>
            <w:vAlign w:val="bottom"/>
            <w:gridSpan w:val="4"/>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(23,778) $</w:t>
            </w: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(19,535)</w:t>
            </w:r>
          </w:p>
        </w:tc>
        <w:tc>
          <w:tcPr>
            <w:tcW w:w="1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(21,820)</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(19,690) $</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(26,079)</w:t>
            </w:r>
          </w:p>
        </w:tc>
      </w:tr>
      <w:tr>
        <w:trPr>
          <w:trHeight w:val="20"/>
        </w:trPr>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July 31,</w:t>
            </w:r>
          </w:p>
        </w:tc>
        <w:tc>
          <w:tcPr>
            <w:tcW w:w="80" w:type="dxa"/>
            <w:vAlign w:val="bottom"/>
          </w:tcPr>
          <w:p>
            <w:pPr>
              <w:spacing w:after="0"/>
              <w:rPr>
                <w:sz w:val="11"/>
                <w:szCs w:val="11"/>
                <w:color w:val="auto"/>
              </w:rPr>
            </w:pPr>
          </w:p>
        </w:tc>
        <w:tc>
          <w:tcPr>
            <w:tcW w:w="80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0"/>
              </w:rPr>
              <w:t>October 31,</w:t>
            </w:r>
          </w:p>
        </w:tc>
        <w:tc>
          <w:tcPr>
            <w:tcW w:w="8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January 31,</w:t>
            </w:r>
          </w:p>
        </w:tc>
        <w:tc>
          <w:tcPr>
            <w:tcW w:w="8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April 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5"/>
              </w:rPr>
              <w:t>July 31,</w:t>
            </w:r>
          </w:p>
        </w:tc>
        <w:tc>
          <w:tcPr>
            <w:tcW w:w="8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October 31,</w:t>
            </w:r>
          </w:p>
        </w:tc>
        <w:tc>
          <w:tcPr>
            <w:tcW w:w="8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January 31,</w:t>
            </w:r>
          </w:p>
        </w:tc>
        <w:tc>
          <w:tcPr>
            <w:tcW w:w="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subscription</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w:t>
            </w:r>
          </w:p>
        </w:tc>
        <w:tc>
          <w:tcPr>
            <w:tcW w:w="2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w:t>
            </w:r>
          </w:p>
        </w:tc>
        <w:tc>
          <w:tcPr>
            <w:tcW w:w="2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w:t>
            </w:r>
          </w:p>
        </w:tc>
        <w:tc>
          <w:tcPr>
            <w:tcW w:w="2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w:t>
            </w:r>
          </w:p>
        </w:tc>
        <w:tc>
          <w:tcPr>
            <w:tcW w:w="2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8"/>
              </w:rPr>
              <w:t>Cost of revenue—services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4"/>
              </w:rPr>
              <w:t>Research and development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1,322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General and administrative</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2,418</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1,744</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1,845</w:t>
            </w:r>
          </w:p>
        </w:tc>
        <w:tc>
          <w:tcPr>
            <w:tcW w:w="160" w:type="dxa"/>
            <w:vAlign w:val="bottom"/>
            <w:shd w:val="clear" w:color="auto" w:fill="CCEEFF"/>
          </w:tcPr>
          <w:p>
            <w:pPr>
              <w:spacing w:after="0"/>
              <w:rPr>
                <w:sz w:val="12"/>
                <w:szCs w:val="12"/>
                <w:color w:val="auto"/>
              </w:rPr>
            </w:pPr>
          </w:p>
        </w:tc>
      </w:tr>
      <w:tr>
        <w:trPr>
          <w:trHeight w:val="131"/>
        </w:trPr>
        <w:tc>
          <w:tcPr>
            <w:tcW w:w="1660" w:type="dxa"/>
            <w:vAlign w:val="bottom"/>
            <w:gridSpan w:val="2"/>
          </w:tcPr>
          <w:p>
            <w:pPr>
              <w:spacing w:after="0" w:line="131" w:lineRule="exact"/>
              <w:rPr>
                <w:sz w:val="20"/>
                <w:szCs w:val="20"/>
                <w:color w:val="auto"/>
              </w:rPr>
            </w:pPr>
            <w:r>
              <w:rPr>
                <w:rFonts w:ascii="Arial" w:cs="Arial" w:eastAsia="Arial" w:hAnsi="Arial"/>
                <w:sz w:val="14"/>
                <w:szCs w:val="14"/>
                <w:color w:val="auto"/>
                <w:w w:val="97"/>
              </w:rPr>
              <w:t>Stock-based compensation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640" w:type="dxa"/>
            <w:vAlign w:val="bottom"/>
          </w:tcPr>
          <w:p>
            <w:pPr>
              <w:ind w:left="120"/>
              <w:spacing w:after="0" w:line="159" w:lineRule="exact"/>
              <w:rPr>
                <w:sz w:val="20"/>
                <w:szCs w:val="20"/>
                <w:color w:val="auto"/>
              </w:rPr>
            </w:pPr>
            <w:r>
              <w:rPr>
                <w:rFonts w:ascii="Arial" w:cs="Arial" w:eastAsia="Arial" w:hAnsi="Arial"/>
                <w:sz w:val="14"/>
                <w:szCs w:val="14"/>
                <w:color w:val="auto"/>
              </w:rPr>
              <w:t>expense</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2,881</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2,833</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4,288</w:t>
            </w:r>
          </w:p>
        </w:tc>
        <w:tc>
          <w:tcPr>
            <w:tcW w:w="2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2,785</w:t>
            </w:r>
          </w:p>
        </w:tc>
        <w:tc>
          <w:tcPr>
            <w:tcW w:w="1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7,752</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4,531</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4,487</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4,454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4,917</w:t>
            </w:r>
          </w:p>
        </w:tc>
        <w:tc>
          <w:tcPr>
            <w:tcW w:w="1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Three Months Ended</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gridSpan w:val="2"/>
          </w:tcPr>
          <w:p>
            <w:pPr>
              <w:jc w:val="right"/>
              <w:ind w:right="118"/>
              <w:spacing w:after="0" w:line="129" w:lineRule="exact"/>
              <w:rPr>
                <w:sz w:val="20"/>
                <w:szCs w:val="20"/>
                <w:color w:val="auto"/>
              </w:rPr>
            </w:pPr>
            <w:r>
              <w:rPr>
                <w:rFonts w:ascii="Arial" w:cs="Arial" w:eastAsia="Arial" w:hAnsi="Arial"/>
                <w:sz w:val="14"/>
                <w:szCs w:val="14"/>
                <w:b w:val="1"/>
                <w:bCs w:val="1"/>
                <w:color w:val="auto"/>
                <w:w w:val="90"/>
              </w:rPr>
              <w:t>April 30,</w:t>
            </w:r>
          </w:p>
        </w:tc>
        <w:tc>
          <w:tcPr>
            <w:tcW w:w="6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July 31,</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October 31,</w:t>
            </w:r>
          </w:p>
        </w:tc>
        <w:tc>
          <w:tcPr>
            <w:tcW w:w="88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8"/>
              </w:rPr>
              <w:t>January 31,</w:t>
            </w: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4"/>
              </w:rPr>
              <w:t>April 30,</w:t>
            </w:r>
          </w:p>
        </w:tc>
        <w:tc>
          <w:tcPr>
            <w:tcW w:w="7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July 31,</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October 31,</w:t>
            </w:r>
          </w:p>
        </w:tc>
        <w:tc>
          <w:tcPr>
            <w:tcW w:w="9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0"/>
              </w:rPr>
              <w:t>January 31,</w:t>
            </w:r>
          </w:p>
        </w:tc>
        <w:tc>
          <w:tcPr>
            <w:tcW w:w="7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April 30,</w:t>
            </w: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Percentage of Revenue</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Data:</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Subscription</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w:t>
            </w: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Services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r>
      <w:tr>
        <w:trPr>
          <w:trHeight w:val="142"/>
        </w:trPr>
        <w:tc>
          <w:tcPr>
            <w:tcW w:w="20" w:type="dxa"/>
            <w:vAlign w:val="bottom"/>
          </w:tcPr>
          <w:p>
            <w:pPr>
              <w:spacing w:after="0"/>
              <w:rPr>
                <w:sz w:val="12"/>
                <w:szCs w:val="12"/>
                <w:color w:val="auto"/>
              </w:rPr>
            </w:pPr>
          </w:p>
        </w:tc>
        <w:tc>
          <w:tcPr>
            <w:tcW w:w="15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Total revenue</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Subscription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Services</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5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w w:val="93"/>
              </w:rPr>
              <w:t>Total cost of revenue</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4"/>
                <w:szCs w:val="14"/>
                <w:color w:val="auto"/>
              </w:rPr>
              <w:t>Gross margin</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73</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Sales and marketing</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Research and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development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00" w:type="dxa"/>
            <w:vAlign w:val="bottom"/>
          </w:tcPr>
          <w:p>
            <w:pPr>
              <w:ind w:left="120"/>
              <w:spacing w:after="0" w:line="138" w:lineRule="exact"/>
              <w:rPr>
                <w:sz w:val="20"/>
                <w:szCs w:val="20"/>
                <w:color w:val="auto"/>
              </w:rPr>
            </w:pPr>
            <w:r>
              <w:rPr>
                <w:rFonts w:ascii="Arial" w:cs="Arial" w:eastAsia="Arial" w:hAnsi="Arial"/>
                <w:sz w:val="14"/>
                <w:szCs w:val="14"/>
                <w:color w:val="auto"/>
              </w:rPr>
              <w:t>General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00" w:type="dxa"/>
            <w:vAlign w:val="bottom"/>
          </w:tcPr>
          <w:p>
            <w:pPr>
              <w:ind w:left="240"/>
              <w:spacing w:after="0" w:line="159" w:lineRule="exact"/>
              <w:rPr>
                <w:sz w:val="20"/>
                <w:szCs w:val="20"/>
                <w:color w:val="auto"/>
              </w:rPr>
            </w:pPr>
            <w:r>
              <w:rPr>
                <w:rFonts w:ascii="Arial" w:cs="Arial" w:eastAsia="Arial" w:hAnsi="Arial"/>
                <w:sz w:val="14"/>
                <w:szCs w:val="14"/>
                <w:color w:val="auto"/>
              </w:rPr>
              <w:t>administrative</w:t>
            </w: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1500" w:type="dxa"/>
            <w:vAlign w:val="bottom"/>
            <w:shd w:val="clear" w:color="auto" w:fill="CCEEFF"/>
          </w:tcPr>
          <w:p>
            <w:pPr>
              <w:ind w:left="260"/>
              <w:spacing w:after="0" w:line="131" w:lineRule="exact"/>
              <w:rPr>
                <w:sz w:val="20"/>
                <w:szCs w:val="20"/>
                <w:color w:val="auto"/>
              </w:rPr>
            </w:pPr>
            <w:r>
              <w:rPr>
                <w:rFonts w:ascii="Arial" w:cs="Arial" w:eastAsia="Arial" w:hAnsi="Arial"/>
                <w:sz w:val="14"/>
                <w:szCs w:val="14"/>
                <w:color w:val="auto"/>
              </w:rPr>
              <w:t>Total operating</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expenses</w:t>
            </w: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183</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168</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3"/>
                <w:szCs w:val="13"/>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4"/>
                <w:szCs w:val="14"/>
                <w:color w:val="auto"/>
              </w:rPr>
              <w:t>Loss from operations</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(148)</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(99)</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(73)</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(60)</w:t>
            </w: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Other income (expense),</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net</w:t>
            </w:r>
          </w:p>
        </w:tc>
        <w:tc>
          <w:tcPr>
            <w:tcW w:w="700" w:type="dxa"/>
            <w:vAlign w:val="bottom"/>
            <w:gridSpan w:val="2"/>
            <w:shd w:val="clear" w:color="auto" w:fill="CCEEFF"/>
          </w:tcPr>
          <w:p>
            <w:pPr>
              <w:jc w:val="right"/>
              <w:ind w:right="118"/>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r>
      <w:tr>
        <w:trPr>
          <w:trHeight w:val="131"/>
        </w:trPr>
        <w:tc>
          <w:tcPr>
            <w:tcW w:w="1520" w:type="dxa"/>
            <w:vAlign w:val="bottom"/>
            <w:gridSpan w:val="2"/>
          </w:tcPr>
          <w:p>
            <w:pPr>
              <w:spacing w:after="0" w:line="131" w:lineRule="exact"/>
              <w:rPr>
                <w:sz w:val="20"/>
                <w:szCs w:val="20"/>
                <w:color w:val="auto"/>
              </w:rPr>
            </w:pPr>
            <w:r>
              <w:rPr>
                <w:rFonts w:ascii="Arial" w:cs="Arial" w:eastAsia="Arial" w:hAnsi="Arial"/>
                <w:sz w:val="14"/>
                <w:szCs w:val="14"/>
                <w:color w:val="auto"/>
                <w:w w:val="97"/>
              </w:rPr>
              <w:t>Loss before provision for</w:t>
            </w: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00" w:type="dxa"/>
            <w:vAlign w:val="bottom"/>
          </w:tcPr>
          <w:p>
            <w:pPr>
              <w:ind w:left="120"/>
              <w:spacing w:after="0" w:line="159" w:lineRule="exact"/>
              <w:rPr>
                <w:sz w:val="20"/>
                <w:szCs w:val="20"/>
                <w:color w:val="auto"/>
              </w:rPr>
            </w:pPr>
            <w:r>
              <w:rPr>
                <w:rFonts w:ascii="Arial" w:cs="Arial" w:eastAsia="Arial" w:hAnsi="Arial"/>
                <w:sz w:val="14"/>
                <w:szCs w:val="14"/>
                <w:color w:val="auto"/>
              </w:rPr>
              <w:t>income taxes</w:t>
            </w:r>
          </w:p>
        </w:tc>
        <w:tc>
          <w:tcPr>
            <w:tcW w:w="700" w:type="dxa"/>
            <w:vAlign w:val="bottom"/>
            <w:gridSpan w:val="2"/>
          </w:tcPr>
          <w:p>
            <w:pPr>
              <w:jc w:val="right"/>
              <w:ind w:right="58"/>
              <w:spacing w:after="0" w:line="159" w:lineRule="exact"/>
              <w:rPr>
                <w:sz w:val="20"/>
                <w:szCs w:val="20"/>
                <w:color w:val="auto"/>
              </w:rPr>
            </w:pPr>
            <w:r>
              <w:rPr>
                <w:rFonts w:ascii="Arial" w:cs="Arial" w:eastAsia="Arial" w:hAnsi="Arial"/>
                <w:sz w:val="14"/>
                <w:szCs w:val="14"/>
                <w:color w:val="auto"/>
              </w:rPr>
              <w:t>(148)</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(115)</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(106)</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(90)</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(99)</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(74)</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(71)</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(59)</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(73)</w:t>
            </w: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Provision for income taxes</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4"/>
                <w:szCs w:val="14"/>
                <w:color w:val="auto"/>
              </w:rPr>
              <w:t>Net loss</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(149</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w:t>
            </w:r>
          </w:p>
        </w:tc>
        <w:tc>
          <w:tcPr>
            <w:tcW w:w="6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(116)%</w:t>
            </w: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(107)%</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(91)%</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w:t>
            </w: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(101)%</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(74)%</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(73)%</w:t>
            </w:r>
          </w:p>
        </w:tc>
        <w:tc>
          <w:tcPr>
            <w:tcW w:w="7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(60)%</w:t>
            </w:r>
          </w:p>
        </w:tc>
        <w:tc>
          <w:tcPr>
            <w:tcW w:w="6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(74)%</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quarterly subscription revenue increased sequentially for all periods presented due primarily to an increase in the sales of subscription and related services. Our quarterly services revenue generally increased sequentially for all periods presented as a result of the same factors. The decline in services revenue from the second quarter to the third quarter in fiscal year 2016 as well as from the first quarter to the second quarter in fiscal year 2018 was primarily the result of a reduction in sales of standalone consulting and training services. We have in the past and expect in the future to experience seasonal fluctuations in our sales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Gross Profit and Gross Margin Trends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Expense Trends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July 31, 2017, we had cash and cash equivalents and short-term investments totaling $92.5 million. Our cash and cash equivalents primarily consist of bank deposits and money market funds. Our short-term investments consist of U.S. government treasury securities.</w:t>
      </w:r>
    </w:p>
    <w:p>
      <w:pPr>
        <w:spacing w:after="0" w:line="186"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To date we have financed our operations principally through private placements of our redeemable convertible preferred stock. Through July 31, 2017, we have received net proceeds of $345.3 million from the issuance of shares of our redeemable convertible preferred stock. We believe our existing cash and cash equivalents and short-term investments will be sufficient to fund our operating and capital needs for at least the next 12 months.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consolidated statements of cash flows. As of July 31, 2017, we had an accumulated deficit of $393.2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260" w:type="dxa"/>
            <w:vAlign w:val="bottom"/>
          </w:tcPr>
          <w:p>
            <w:pPr>
              <w:spacing w:after="0"/>
              <w:rPr>
                <w:sz w:val="14"/>
                <w:szCs w:val="1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89"/>
              </w:rPr>
              <w:t>July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29"/>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(unaudited)</w:t>
            </w:r>
          </w:p>
        </w:tc>
      </w:t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(46,961)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(22,318)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(26,869)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(80,422)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or GAAP, we provide investors with the amount of free cash flow, which is a non-GAAP financial measure. Free cash flow represents net cash used in operating activities, excluding capital expenditures and capitalized software development costs, if any. In fiscal years 2016 and 2017 and the six months ended July 31,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89"/>
              </w:rPr>
              <w:t>July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6"/>
          </w:tcPr>
          <w:p>
            <w:pPr>
              <w:jc w:val="center"/>
              <w:ind w:right="258"/>
              <w:spacing w:after="0" w:line="129" w:lineRule="exact"/>
              <w:rPr>
                <w:sz w:val="20"/>
                <w:szCs w:val="20"/>
                <w:color w:val="auto"/>
              </w:rPr>
            </w:pPr>
            <w:r>
              <w:rPr>
                <w:rFonts w:ascii="Arial" w:cs="Arial" w:eastAsia="Arial" w:hAnsi="Arial"/>
                <w:sz w:val="14"/>
                <w:szCs w:val="14"/>
                <w:b w:val="1"/>
                <w:bCs w:val="1"/>
                <w:color w:val="auto"/>
                <w:w w:val="89"/>
              </w:rPr>
              <w:t>(unaudited)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right"/>
              <w:ind w:right="52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(22,318)</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(26,869)</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(1,626)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(22,955</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(28,495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Cash used in operating activities during the six months ended July 31, 2017 was $26.9 million primarily driven by our net loss of $45.8 million and was partially offset by non-cash charges of $9.4 million for stock-based compensation and $1.9 million for depreciation and amortization. In addition, our cash used in operating activities was further offset by an increase of $11.9 million in deferred revenue resulting from the overall growth of our sales and our expanding customer base, and an increase of $1.2 million in accrued liabilities mainly related to deferred offering costs. The change in deferred revenue and accrued liabilities was partially offset by an increase of $2.9 million in prepaid expenses and other current assets, and an increase of $1.6 million in accounts receivable as a result of the overall increase in revenue and deferred revenue.</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in operating activities during the six months ended July 31, 2016 was $22.3 million primarily driven by our net loss of $45.3 million and was partially offset by non-cash charges of $12.3 million for stock-based compensation and $1.9 million for depreciation and amortization. In addition, our cash used in operating activities was further offset by a decrease of $8.4 million in accounts receivable due to collection from customers, and an increase of $1.9 million in deferred revenue resulting from the overall growth of our sales and our expanding customer base. The change in accounts receivable and deferred revenue was partially offset by an increase of $1.1 million in prepaid expenses and other current assets.</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in operating activities during the year ended January 31, 2017 was $38.1 million primarily driven by our net loss of $86.7 million and was partially offset by non-cash charges of $21.0 million for stock-based compensation and $3.8 million for depreciation and amortization. In addition, our cash used in operating activities was further offset by an increase of $35.8 million in deferred revenue resulting from the overall growth of our sales and our expanding customer base. This change in deferred revenue was partially offset by increases of $9.3 million in accounts receivable and of $6.0 million in deferred commissions, both corresponding with our increased sales and customer expansions.</w:t>
      </w:r>
    </w:p>
    <w:p>
      <w:pPr>
        <w:spacing w:after="0" w:line="170"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Cash used in operating activities during the year ended January 31, 2016 was $47.0 million primarily driven by our net loss of $73.5 million and was partially offset by non-cash charges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$12.8 million for stock-based compensation and $4.1 million for depreciation and amortization. In addition, our cash used in operating activities was further offset by an increase of $17.7 million in deferred revenue resulting from the overall growth of our sales and our expanding customer base. This change in deferred revenue was partially offset by an increase of $10.1 million in accounts receivable corresponding with our increased sales and customer expansions.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Cash used in investing activities during the six months ended July 31, 2017 of $6.2 million resulted primarily from the purchase of marketable securities, net of maturities.</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Cash provided by investing activities during the six months ended July 31, 2016 of $12.2 million resulted primarily from net proceeds from sales and maturities of marketable securities.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Cash used in investing activities during the year ended January 31, 2016 of $80.4 million resulted primarily from the purchase of marketable securities, net of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Cash provided by financing activities of $4.7 million during the six months ended July 31, 2017 was due to $6.0 million in proceeds from the exercise of stock options, partially offset by $1.2 million in payments of offering costs related to this planned offering.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$4.3 million during the six months ended July 31, 2016 was due to proceeds from the exercise of stock options.</w:t>
      </w:r>
    </w:p>
    <w:p>
      <w:pPr>
        <w:spacing w:after="0" w:line="24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$3.1 million during the year ended January 31, 2016 was due to proceeds from the exercise of stock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in the past and expect in the future to experience seasonal fluctuations in our revenue and sales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January 31, 2017 and July 31, 2017, we did not have any relationships with any entities or financial partnerships, such as structured finance or special purpose entities that would have been established for the purpose of facilitating off-balance sheet arrangements or other purposes.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January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597"/>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 to 3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purchase obligations relate to non-cancellable agreements for subscription and marketing services. In August 2017, we entered into non-cancellable capacity commitments with a hosting infrastructure vendor for a total value of $6.1 million over the next three years, which are not reflected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support arrangements and consumption-based hosted as-a-service offerings; and (2) services revenue comprised of evaluation, configuration and implementation services.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revenues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as services are delivered if sold on a stand-alone basis and over the contractual subscription period if sold as a bundled element along with our subscriptions. When services commence later than the start date of the bundled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support, or PCS. As our subscription offerings include a software license and PCS for which we have not established Vender Specific-Objective Evidence, or VSOE, the entire fee is recognized ratably over the term of the contract. See "—Multiple-Element Arrangements" below. With our MongoDB Atlas product, we make our software available to our customers in a hosted as-a-service offering. Generally, revenue related to our MongoDB Atlas product is recognized on a usage-basis, as determined by the frequency that the customer uses the product and based on other characteristics of the instances they utilize.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services contracts are provisioned on a time-and-materials, fixed-fee or subscription basis. Revenue is recognized as the services are delivered on a proportional performance basis for standalone contracts sold on a time-and-materials and fixed-fee basis. When services are sold with subscription offerings they are treated as multiple-element arrangements. All revenue in the arrangement is recognized ratably over the term of the undelivered elements assuming all other revenue recognition criteria have been met. See "—Multiple-Element Arrangements"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 dictates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would occur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shall be recognized ratably over the term of the undelivered elements assuming all other revenue recognition criteria have been met. We have not established VSOE for PCS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account for stock-based compensation expense related to stock-based awards based on the estimated fair value of the award on the grant date. We historically issued options to purchase shares of our common stock. In November 2016 we created two classes of common stock, Class A and Class B, and exchanged all of our outstanding stock options to purchase common stock for options to purchase shares of our Class B common stock. All of our stock options granted under our 2016 Plan, which was adopted December 6, 2016, have been and will be for shares of our Class A common stock. We calculate the fair value of stock options using the Black-Scholes option-pricing model. For stock-based awards issued to employees, the related stock-based compensation expense is recognized on a straight-line basis over the period in which an employee is required to provide service in exchange for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stock-based award, which is generally four years. For stock-based awards issued to non-employees, including consultants, we record expense related to stock options based on the fair value of the options calculated using the Black-Scholes option-pricing model over the service performance period.</w:t>
      </w:r>
    </w:p>
    <w:p>
      <w:pPr>
        <w:spacing w:after="0" w:line="13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estimate the fair value of stock options using the Black-Scholes option-pricing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Class B common stock are not expected to be paid in the near future, which is consistent with our history of not paying dividends on our Class B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periods presented: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4"/>
                <w:szCs w:val="14"/>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 July 31,</w:t>
            </w:r>
          </w:p>
        </w:tc>
      </w:tr>
      <w:tr>
        <w:trPr>
          <w:trHeight w:val="142"/>
        </w:trPr>
        <w:tc>
          <w:tcPr>
            <w:tcW w:w="35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116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85"/>
              </w:rPr>
              <w:t>6.32</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6.07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w w:val="89"/>
              </w:rPr>
              <w:t>- 44%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ind w:left="20"/>
              <w:spacing w:after="0"/>
              <w:rPr>
                <w:sz w:val="20"/>
                <w:szCs w:val="20"/>
                <w:color w:val="auto"/>
              </w:rPr>
            </w:pPr>
            <w:r>
              <w:rPr>
                <w:rFonts w:ascii="Arial" w:cs="Arial" w:eastAsia="Arial" w:hAnsi="Arial"/>
                <w:sz w:val="18"/>
                <w:szCs w:val="18"/>
                <w:color w:val="auto"/>
              </w:rPr>
              <w:t>- 43%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   1.9%</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116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 xml:space="preserve">As discussed in "Recently Adopted Accounting Pronouncements" in the notes to our consolidated financial statements included elsewhere in this prospectus we have elected to early adopt Accounting Standards Update No. 2016-09, Compensation—Stock Compensation (Topic 718): </w:t>
      </w:r>
      <w:r>
        <w:rPr>
          <w:rFonts w:ascii="Arial" w:cs="Arial" w:eastAsia="Arial" w:hAnsi="Arial"/>
          <w:sz w:val="18"/>
          <w:szCs w:val="18"/>
          <w:i w:val="1"/>
          <w:iCs w:val="1"/>
          <w:color w:val="auto"/>
        </w:rPr>
        <w:t>Improvement to Employee Share-based Payment Accounting</w:t>
      </w:r>
      <w:r>
        <w:rPr>
          <w:rFonts w:ascii="Arial" w:cs="Arial" w:eastAsia="Arial" w:hAnsi="Arial"/>
          <w:sz w:val="18"/>
          <w:szCs w:val="18"/>
          <w:color w:val="auto"/>
        </w:rPr>
        <w:t>, which, among other things, permits an entity to make an entity-wide policy election to either (1) estimate the number of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vest or (2) account for forfeitures when they occur. We have elected to account for forfeitures as they occur, rather than estimate expected forfeitures beginning on February 1, 2016.</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Class B common stock, we may have refinements to our estimates, which could materially impact our future stock-based compensation expense.</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Based upon an assumed initial public offering price of $ per share, the midpoint of the range set forth on the cover of this prospectus, the aggregate intrinsic value of outstanding options to purchase shares of our Class B common stock as of , 2017 was $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required to estimate the fair value of the common stock underlying our stock option awards when performing the fair value calculations with the Black-Scholes option-pricing model. The fair value of the common stock underlying our stock option awards was determined by our Board of Directors, with input from management. All stock options granted have an exercise price per share not less than the per share fair value of our common stock underlying those options on the date of grant. We believe that our Board of Directors has the relevant experience and expertise to determine the fair value of our common stock. In the absence of a public trading market, our Board of Directors,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input from management, exercised significant judgment and considered numerous objective and subjective factors to determine the fair value of our common stock for financial reporting purposes as of the grant date of each stock option award, including the following factors:</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secondary stock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As described above, the exercise price of our stock option awards was determined by our Board of Directors, taking into account the factors described above, using a combination of valuation methodologies with varying weighting applied to each methodology as of the grant date. The valuations of our common stock were determined in accordance with the guidance provided by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67"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subject to stock options and restricted stock units granted from February 1, 2016 through the date of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prospectus, as well as the associated per share exercise price for options granted and the estimated fair value per share of our common stock on the grant date.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Number of 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per Share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Equity 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1"/>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Granted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13,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6,073,462</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July 13, 2016</w:t>
            </w:r>
          </w:p>
        </w:tc>
        <w:tc>
          <w:tcPr>
            <w:tcW w:w="1260" w:type="dxa"/>
            <w:vAlign w:val="bottom"/>
          </w:tcPr>
          <w:p>
            <w:pPr>
              <w:jc w:val="right"/>
              <w:spacing w:after="0"/>
              <w:rPr>
                <w:sz w:val="20"/>
                <w:szCs w:val="20"/>
                <w:color w:val="auto"/>
              </w:rPr>
            </w:pPr>
            <w:r>
              <w:rPr>
                <w:rFonts w:ascii="Arial" w:cs="Arial" w:eastAsia="Arial" w:hAnsi="Arial"/>
                <w:sz w:val="18"/>
                <w:szCs w:val="18"/>
                <w:color w:val="auto"/>
              </w:rPr>
              <w:t>1,088,750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October 5, 2016</w:t>
            </w:r>
          </w:p>
        </w:tc>
        <w:tc>
          <w:tcPr>
            <w:tcW w:w="1260" w:type="dxa"/>
            <w:vAlign w:val="bottom"/>
          </w:tcPr>
          <w:p>
            <w:pPr>
              <w:jc w:val="right"/>
              <w:spacing w:after="0"/>
              <w:rPr>
                <w:sz w:val="20"/>
                <w:szCs w:val="20"/>
                <w:color w:val="auto"/>
              </w:rPr>
            </w:pPr>
            <w:r>
              <w:rPr>
                <w:rFonts w:ascii="Arial" w:cs="Arial" w:eastAsia="Arial" w:hAnsi="Arial"/>
                <w:sz w:val="18"/>
                <w:szCs w:val="18"/>
                <w:color w:val="auto"/>
              </w:rPr>
              <w:t>937,250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7,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April 5, 2017</w:t>
            </w:r>
          </w:p>
        </w:tc>
        <w:tc>
          <w:tcPr>
            <w:tcW w:w="1260" w:type="dxa"/>
            <w:vAlign w:val="bottom"/>
          </w:tcPr>
          <w:p>
            <w:pPr>
              <w:jc w:val="right"/>
              <w:spacing w:after="0"/>
              <w:rPr>
                <w:sz w:val="20"/>
                <w:szCs w:val="20"/>
                <w:color w:val="auto"/>
              </w:rPr>
            </w:pPr>
            <w:r>
              <w:rPr>
                <w:rFonts w:ascii="Arial" w:cs="Arial" w:eastAsia="Arial" w:hAnsi="Arial"/>
                <w:sz w:val="18"/>
                <w:szCs w:val="18"/>
                <w:color w:val="auto"/>
              </w:rPr>
              <w:t>3,691,750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June 6, 2017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13,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September 6, 2017</w:t>
            </w:r>
          </w:p>
        </w:tc>
        <w:tc>
          <w:tcPr>
            <w:tcW w:w="1260" w:type="dxa"/>
            <w:vAlign w:val="bottom"/>
          </w:tcPr>
          <w:p>
            <w:pPr>
              <w:jc w:val="right"/>
              <w:spacing w:after="0"/>
              <w:rPr>
                <w:sz w:val="20"/>
                <w:szCs w:val="20"/>
                <w:color w:val="auto"/>
              </w:rPr>
            </w:pPr>
            <w:r>
              <w:rPr>
                <w:rFonts w:ascii="Arial" w:cs="Arial" w:eastAsia="Arial" w:hAnsi="Arial"/>
                <w:sz w:val="18"/>
                <w:szCs w:val="18"/>
                <w:color w:val="auto"/>
              </w:rPr>
              <w:t>953,200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Represents restricted stock units.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valuations after the completion of this offering, our board of directors will determine the fair value of each share of underlying Class A common stock</w:t>
      </w:r>
    </w:p>
    <w:p>
      <w:pPr>
        <w:spacing w:after="0" w:line="3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based on the closing price of our Class A common stock as reported on</w:t>
      </w:r>
      <w:r>
        <w:rPr>
          <w:sz w:val="20"/>
          <w:szCs w:val="20"/>
          <w:color w:val="auto"/>
        </w:rPr>
        <w:tab/>
      </w:r>
      <w:r>
        <w:rPr>
          <w:rFonts w:ascii="Arial" w:cs="Arial" w:eastAsia="Arial" w:hAnsi="Arial"/>
          <w:sz w:val="15"/>
          <w:szCs w:val="15"/>
          <w:color w:val="auto"/>
        </w:rPr>
        <w:t>as of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See Note 1 to our consolidated financial statements included elsewhere in this prospectus for recently adopted accounting pronouncements and new accounting pronouncements not yet adopted as of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and cash equivalents primarily equivalents primarily consist of bank deposits and money market funds, and our short-term investments consist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 government treasury securities. At January 31, 2017 and July 31, 2017, we had cash, cash equivalents and short-term investments of $116.5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$92.5 million, respectively. The carrying amount of our cash equivalents reasonably approximates fair value, due to the short maturities of these instruments.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primary objectives of our investment activities are the preservation of capital, the fulfillment of liquidity needs and the fiduciary control of cash and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 do not enter into investments for trading or speculative purposes. Our investments are exposed to market risk due to a fluctuation in interest rates, which may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affect our interest income and the fair market value of our investments. The effect of a hypothetical 10% increase or decrease in interest rates would not have had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material impact on our historical consolidated financial statements for the years ended January 31, 2016 and 2017 and the six months ended July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sales contracts are primarily denominated in U.S. dollars, British pound, or GBP, or Euros, or EUR. A portion of our operating expenses are incurred outside the United States and denominated in foreign currencies and are subject to fluctuations due to changes in foreign currency exchange rates,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2016 and 2017 and the six months ended July 31, 2017.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ind w:right="420" w:firstLine="341"/>
        <w:spacing w:after="0" w:line="255" w:lineRule="auto"/>
        <w:rPr>
          <w:sz w:val="20"/>
          <w:szCs w:val="20"/>
          <w:color w:val="auto"/>
        </w:rPr>
      </w:pPr>
      <w:r>
        <w:rPr>
          <w:rFonts w:ascii="Arial" w:cs="Arial" w:eastAsia="Arial" w:hAnsi="Arial"/>
          <w:sz w:val="18"/>
          <w:szCs w:val="18"/>
          <w:color w:val="auto"/>
        </w:rPr>
        <w:t>As an "emerging growth company," the Jump-start Our Business Start-ups, or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81"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Our unique platform architecture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believe we have a highly differentiated business model. Our platform is offered under a software subscription business model, with subscription revenue accounting for 90% and 91% of our total revenue in fiscal year 2017 and the six months ended July 31, 2017, respectively. To encourage developer usage, familiarity and adoption of our platform, we offer Community Server as an open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source offering, analogous to a "freemium" offering. Community Server is a free-to-download version of our database that does not include all of the features of our commercial platform. Our Community Server offering may be downloaded multiple times by an individual user prior to any subsequent subscription purchase.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 million times in the last 12 months alone. We provide our platform under a licensing model that protects our intellectual property and supports our software subscription business model.</w:t>
      </w:r>
    </w:p>
    <w:p>
      <w:pPr>
        <w:spacing w:after="0" w:line="192" w:lineRule="exact"/>
        <w:rPr>
          <w:sz w:val="20"/>
          <w:szCs w:val="20"/>
          <w:color w:val="auto"/>
        </w:rPr>
      </w:pPr>
    </w:p>
    <w:p>
      <w:pPr>
        <w:ind w:right="480" w:firstLine="348"/>
        <w:spacing w:after="0" w:line="305" w:lineRule="auto"/>
        <w:rPr>
          <w:sz w:val="20"/>
          <w:szCs w:val="20"/>
          <w:color w:val="auto"/>
        </w:rPr>
      </w:pPr>
      <w:r>
        <w:rPr>
          <w:rFonts w:ascii="Arial" w:cs="Arial" w:eastAsia="Arial" w:hAnsi="Arial"/>
          <w:sz w:val="15"/>
          <w:szCs w:val="15"/>
          <w:color w:val="auto"/>
        </w:rPr>
        <w:t>We have experienced rapid growth. As of July 31, 2017, we had over 4,300 customers across a wide range of industries and in more than 85 countries, compared to over 1,700 and 3,200 customers as of January 31, 2016 and 2017, respectively. Our customers include over half of the Global Fortune</w:t>
      </w:r>
    </w:p>
    <w:p>
      <w:pPr>
        <w:spacing w:after="0"/>
        <w:rPr>
          <w:sz w:val="20"/>
          <w:szCs w:val="20"/>
          <w:color w:val="auto"/>
        </w:rPr>
      </w:pPr>
      <w:r>
        <w:rPr>
          <w:rFonts w:ascii="Arial" w:cs="Arial" w:eastAsia="Arial" w:hAnsi="Arial"/>
          <w:sz w:val="16"/>
          <w:szCs w:val="16"/>
          <w:color w:val="auto"/>
        </w:rPr>
        <w:t>100 companies. For the fiscal years ended January 31, 2015, 2016 and 2017, our revenue was $40.8 million, $65.3 million and $101.4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year-over-year growth of 60% for fiscal year 2016 and 55% for fiscal year 2017. For the six months ended July 31, 2017, our total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$68.0 million, representing a 51% increase over revenue for the six months ended July 31, 2016. We believe our net annual recurring revenue, or ARR, expansion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rate, which has been over 120% for each of the last ten fiscal quarters, demonstrates the attractiveness of our platform to our customers. See the section titled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Discussion and Analysis of Financial Condition and Results of Operations—Cohort Analysis" for a description of ARR and a discussion of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 expansion rate. Our net loss was $76.7 million, $73.5 million, $86.7 million and $45.8 million, for fiscal years 2015, 2016 and 2017 and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July 31, 2017, respectively. Our operating cash flow was $(62.0) million, $(47.0) million, $(38.1) million and $(26.9) million, for fiscal years 2015,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2017 and the six months ended July 31, 2017, respectively. Our free cash flow was $(64.7) million, $(47.4) million, $(39.8) million and $(28.5)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fiscal years 2015, 2016 and 2017 and the six months ended July 31, 2017, respectively. See the section titled "Management Discussion and Analysis of Financial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Operations—Liquidity and Capital Resources—Non-GAAP Free Cash Flow."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like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As software applications have become essential to all businesses, the software developers who build and maintain these applications are increasingly influential in organizations and demand for their talent has grown substantially. Software developers are a scarce and strategic talent pool. According to Evans Data Corporation, in 2016 there were approximately 21 million developers worldwide. Developer costs, rather than hardware, computing power and storage costs, now comprise the largest portion of IT-related operating budgets.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 Developers often turn to easy-to-try, low-friction solutions, including open source software, when evaluating and selecting the technologies they will adopt for application development or modernization.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When developers evaluate a database, they assess both its capabilities and how efficient or cumbersome it will be to use as they build, improve and maintain their applications. Large organizations can have tens of thousands of applications and associated databases.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End users expect personalized and seamless interactions with the applications they use, which are enabled by the underlying data. To compete successfully, organizations need to provide their end users with modern applications that capture and leverage the vast amounts and variety of data available today.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Organizations worldwide are undergoing a fundamental modernization of legacy IT infrastructure and rapidly adopting cloud or hybrid architectures. According to Forrester surveys, North American and European companies will run 18% of their custom-built application software on public cloud platforms by the end of 2017. However, most organizations are actively evaluating, if not yet adopting, cloud architecture. In 2016, 92% of all organizations were evaluating, deploying or fully embracing the cloud, according to IDC.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underlying architecture of relational databases, however, remains largely unchanged even though the nature of applications, how they are deployed and their role in business have evolved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For example, developers are often required to spend significant time fixing and maintaining the linkages between modern applications and the rigid database structure inherent in relational offerings. In addition, the volume and variety of data today does not fit easily into this pre-determined row-and-column format, making it difficult and inefficient for developers to work with these applications, reducing application functionality, causing poor application performance and risking costly application downtime.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document-based architecture enables developers to manage data in a more natural way, making applications more agile. Our architecture is also designed to allow customers to scale horizontally using commodity hardware, providing seamless scalability and enabling "always-on" global deployments.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Our Unique Business Model. </w:t>
      </w:r>
      <w:r>
        <w:rPr>
          <w:rFonts w:ascii="Arial" w:cs="Arial" w:eastAsia="Arial" w:hAnsi="Arial"/>
          <w:sz w:val="18"/>
          <w:szCs w:val="18"/>
          <w:color w:val="auto"/>
        </w:rPr>
        <w:t>We believe we have a highly differentiated business model that combines the developer mindshare and adoption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and 91% of our total revenue in fiscal year 2017 and the six months ended July 31, 2017, respectively. Owning the intellectual property of our offering also allows us to retain control over our future product roadmap, including the determination of which features are included in our free or paid offerings. In addition, by offering Community Server under the GNU Affero General Public License Version 3, or the AGPL, we limit the appeal to other parties, including public cloud vendors, of monetizing our software without licensing it from us, further supporting our software subscription business model. The economic attractiveness of our subscription-based model is driven by customer renewals and increasing existing customer subscriptions over time, referred to as land-and-expand.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188" w:lineRule="exact"/>
        <w:rPr>
          <w:sz w:val="20"/>
          <w:szCs w:val="20"/>
          <w:color w:val="auto"/>
        </w:rPr>
      </w:pPr>
    </w:p>
    <w:p>
      <w:pPr>
        <w:jc w:val="both"/>
        <w:ind w:left="1080" w:right="14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We deliver the extreme throughput and predictable low-latency required by the most demanding applications and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server architectures, delivering millions of operations per second.</w:t>
      </w:r>
    </w:p>
    <w:p>
      <w:pPr>
        <w:spacing w:after="0" w:line="199" w:lineRule="exact"/>
        <w:rPr>
          <w:rFonts w:ascii="Arial" w:cs="Arial" w:eastAsia="Arial" w:hAnsi="Arial"/>
          <w:sz w:val="18"/>
          <w:szCs w:val="18"/>
          <w:color w:val="auto"/>
        </w:rPr>
      </w:pPr>
    </w:p>
    <w:p>
      <w:pPr>
        <w:ind w:left="1620" w:right="540" w:hanging="532"/>
        <w:spacing w:after="0" w:line="33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Scalability</w:t>
      </w:r>
      <w:r>
        <w:rPr>
          <w:rFonts w:ascii="Arial" w:cs="Arial" w:eastAsia="Arial" w:hAnsi="Arial"/>
          <w:sz w:val="16"/>
          <w:szCs w:val="16"/>
          <w:color w:val="auto"/>
        </w:rPr>
        <w:t>. Our architecture scales horizontally across thousands of servers, supporting petabytes of data and millions of users in a</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distributed environment. It is easy to add capacity to our platform in a modular, predictable and cost-efficient manner.</w:t>
      </w:r>
    </w:p>
    <w:p>
      <w:pPr>
        <w:spacing w:after="0" w:line="152"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document-based architecture easily accommodates the variety of data required by modern applications. It also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developers to prototype, iterate on and add new functionality to their applications.</w:t>
      </w:r>
    </w:p>
    <w:p>
      <w:pPr>
        <w:spacing w:after="0" w:line="212"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Our Platform for Developers. </w:t>
      </w:r>
      <w:r>
        <w:rPr>
          <w:rFonts w:ascii="Arial" w:cs="Arial" w:eastAsia="Arial" w:hAnsi="Arial"/>
          <w:sz w:val="18"/>
          <w:szCs w:val="18"/>
          <w:color w:val="auto"/>
        </w:rPr>
        <w:t>MongoDB was built by developers for developers. We architected our platform with robust functionality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54" w:lineRule="auto"/>
        <w:rPr>
          <w:sz w:val="20"/>
          <w:szCs w:val="20"/>
          <w:color w:val="auto"/>
        </w:rPr>
      </w:pPr>
      <w:r>
        <w:rPr>
          <w:rFonts w:ascii="Arial" w:cs="Arial" w:eastAsia="Arial" w:hAnsi="Arial"/>
          <w:sz w:val="18"/>
          <w:szCs w:val="18"/>
          <w:color w:val="auto"/>
        </w:rPr>
        <w:t>platform using the programming language of their choice, further increasing developer productivity. All of this has led to increased application agility, higher levels of developer productivity and high levels of developer adoption and engagement. According to Stack Overflow, more developers wanted to work with MongoDB than any other database in 2017, and according to 451 Research, as of December 2016, more developers listed MongoDB as a skill on LinkedIn than nearly all other non-relational databases combined. In addition, according to a third-party analysis of StackOverflow's activity from 2011 through August 2016, MongoDB had more activity on StackOverflow than any other non-relational database evaluated.</w:t>
      </w:r>
    </w:p>
    <w:p>
      <w:pPr>
        <w:spacing w:after="0" w:line="212" w:lineRule="exact"/>
        <w:rPr>
          <w:sz w:val="20"/>
          <w:szCs w:val="20"/>
          <w:color w:val="auto"/>
        </w:rPr>
      </w:pPr>
    </w:p>
    <w:p>
      <w:pPr>
        <w:ind w:left="1080" w:right="20" w:hanging="532"/>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080" w:right="14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 organizations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Developer Productivity. </w:t>
      </w:r>
      <w:r>
        <w:rPr>
          <w:rFonts w:ascii="Arial" w:cs="Arial" w:eastAsia="Arial" w:hAnsi="Arial"/>
          <w:sz w:val="16"/>
          <w:szCs w:val="16"/>
          <w:color w:val="auto"/>
        </w:rPr>
        <w:t>By empowering developers to build or modernize applications quickly and cost-efficiently, we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agility, accelerating the time-to-revenue for new products. Our platform's document-based architecture and intuitive drivers make developing and iterating on applications very efficient on our platform, increasing developer productivity.</w:t>
      </w:r>
    </w:p>
    <w:p>
      <w:pPr>
        <w:spacing w:after="0" w:line="174"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221"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08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awareness and frictionless usage and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99" w:lineRule="exact"/>
        <w:rPr>
          <w:sz w:val="20"/>
          <w:szCs w:val="20"/>
          <w:color w:val="auto"/>
        </w:rPr>
      </w:pPr>
    </w:p>
    <w:p>
      <w:pPr>
        <w:ind w:left="1080" w:right="40" w:hanging="532"/>
        <w:spacing w:after="0" w:line="294"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 important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 We also recently introduced a free tier for MongoDB Atlas that includes limited processing power and storage to drive developer usage and adoption of MongoDB Atlas.</w:t>
      </w:r>
    </w:p>
    <w:p>
      <w:pPr>
        <w:spacing w:after="0" w:line="196"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ten fiscal quarters, demonstrates our ability to expand within existing customers.</w:t>
      </w:r>
    </w:p>
    <w:p>
      <w:pPr>
        <w:spacing w:after="0" w:line="187"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Product Leadership and Introduce New Products. </w:t>
      </w:r>
      <w:r>
        <w:rPr>
          <w:rFonts w:ascii="Arial" w:cs="Arial" w:eastAsia="Arial" w:hAnsi="Arial"/>
          <w:sz w:val="16"/>
          <w:szCs w:val="16"/>
          <w:color w:val="auto"/>
        </w:rPr>
        <w:t>We intend to continue to invest in our product offerings with the goal of becoming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widely deployed database in the world. We direct our product innovation toward initiatives intended to drive customer adoption and expansion and increase developer productivity. For example, we have introduced an encrypted storage engine to secure data natively within our platform, allowing customers to utilize our platform for applications in highly regulated industries with specific and rigorous security requirements. In addition, we introduced enhancements to our platform to enable applications based on network, or graph, operations. Previously, these types of applications required a specialized, niche database. Since introducing our graph capabilities, enterprises can standardize these applications, alongside other applications, on our platform and their developers do not need to learn and manage an additional database platform.</w:t>
      </w:r>
    </w:p>
    <w:p>
      <w:pPr>
        <w:spacing w:after="0" w:line="185" w:lineRule="exact"/>
        <w:rPr>
          <w:rFonts w:ascii="Arial" w:cs="Arial" w:eastAsia="Arial" w:hAnsi="Arial"/>
          <w:sz w:val="16"/>
          <w:szCs w:val="16"/>
          <w:color w:val="auto"/>
        </w:rPr>
      </w:pPr>
    </w:p>
    <w:p>
      <w:pPr>
        <w:ind w:left="1080" w:hanging="532"/>
        <w:spacing w:after="0" w:line="289"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Historically, we have invested in our community through active sponsorship of user groups, our annual user conference, MongoDB World, MongoDB University and other community-centered events. As of July 31, 2017, there were 116 meetup groups dedicated to MongoDB with over 55,000 members worldwide, and over 730,000 registrations for MongoDB University courses, which help members of our community increase their familiarity and productivity with our platform. We intend to continue to invest in the MongoDB developer community.</w:t>
      </w:r>
    </w:p>
    <w:p>
      <w:pPr>
        <w:spacing w:after="0" w:line="199" w:lineRule="exact"/>
        <w:rPr>
          <w:rFonts w:ascii="Arial" w:cs="Arial" w:eastAsia="Arial" w:hAnsi="Arial"/>
          <w:sz w:val="16"/>
          <w:szCs w:val="16"/>
          <w:color w:val="auto"/>
        </w:rPr>
      </w:pPr>
    </w:p>
    <w:p>
      <w:pPr>
        <w:ind w:left="1080" w:right="380" w:hanging="532"/>
        <w:spacing w:after="0" w:line="370"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and Cultivate Our Partner Ecosystem. </w:t>
      </w:r>
      <w:r>
        <w:rPr>
          <w:rFonts w:ascii="Arial" w:cs="Arial" w:eastAsia="Arial" w:hAnsi="Arial"/>
          <w:sz w:val="15"/>
          <w:szCs w:val="15"/>
          <w:color w:val="auto"/>
        </w:rPr>
        <w:t>We have built a partner ecosystem of independent software vendors, systems integrators, value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added resellers and technology partners. Our partners include Accenture, Adobe, Amazon Web Services, or AWS, Cisco, Google, Infosys,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Microsoft, Splunk, Tableau and more than 1,000 other organizations. Our partner ecosystem provides us with significant benefits, including lead generation, new customer acquisition, accelerated deployment and customer support. Our system integrator partners have also been valuable in working with organizations to migrate applications to our platform. We intend to continue to expand and enhance our partner relationships to grow our market presence and drive greater sales efficiency.</w:t>
      </w:r>
    </w:p>
    <w:p>
      <w:pPr>
        <w:spacing w:after="0" w:line="21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there is significant opportunity to continue to expand the use of our platform outside the United States.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the fiscal year ended January 31, 2017 and the six months ended July 31, 2017, total revenue generated outside of the United States was 35% of our total revenue. We intend to continue to expand our sales and drive adoption of our platform globally.</w:t>
      </w:r>
    </w:p>
    <w:p>
      <w:pPr>
        <w:spacing w:after="0" w:line="538" w:lineRule="exact"/>
        <w:rPr>
          <w:sz w:val="20"/>
          <w:szCs w:val="20"/>
          <w:color w:val="auto"/>
        </w:rPr>
      </w:pPr>
    </w:p>
    <w:p>
      <w:pPr>
        <w:sectPr>
          <w:pgSz w:w="11900" w:h="16838" w:orient="portrait"/>
          <w:cols w:equalWidth="0" w:num="2">
            <w:col w:w="940" w:space="140"/>
            <w:col w:w="10340"/>
          </w:cols>
          <w:pgMar w:left="240" w:top="131" w:right="239" w:bottom="1440" w:gutter="0" w:footer="0" w:header="0"/>
          <w:type w:val="continuous"/>
        </w:sectPr>
      </w:pPr>
    </w:p>
    <w:p>
      <w:pPr>
        <w:spacing w:after="0" w:line="54"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221" w:lineRule="exact"/>
        <w:rPr>
          <w:sz w:val="20"/>
          <w:szCs w:val="20"/>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199" w:lineRule="exact"/>
        <w:rPr>
          <w:rFonts w:ascii="Arial" w:cs="Arial" w:eastAsia="Arial" w:hAnsi="Arial"/>
          <w:sz w:val="18"/>
          <w:szCs w:val="18"/>
          <w:color w:val="auto"/>
        </w:rPr>
      </w:pPr>
    </w:p>
    <w:p>
      <w:pPr>
        <w:ind w:left="1080" w:right="140" w:hanging="532"/>
        <w:spacing w:after="0" w:line="323"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Embrace the Power of Differences. </w:t>
      </w:r>
      <w:r>
        <w:rPr>
          <w:rFonts w:ascii="Arial" w:cs="Arial" w:eastAsia="Arial" w:hAnsi="Arial"/>
          <w:sz w:val="15"/>
          <w:szCs w:val="15"/>
          <w:color w:val="auto"/>
        </w:rPr>
        <w:t>We commit to creating a culture of inclusion by seeking and valuing employees from different backgrounds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178"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ectPr>
          <w:pgSz w:w="11900" w:h="16838" w:orient="portrait"/>
          <w:cols w:equalWidth="0" w:num="1">
            <w:col w:w="11420"/>
          </w:cols>
          <w:pgMar w:left="240" w:top="131" w:right="239" w:bottom="1440" w:gutter="0" w:footer="0" w:header="0"/>
          <w:type w:val="continuous"/>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572" w:lineRule="exact"/>
        <w:rPr>
          <w:sz w:val="20"/>
          <w:szCs w:val="20"/>
          <w:color w:val="auto"/>
        </w:rPr>
      </w:pPr>
    </w:p>
    <w:p>
      <w:pPr>
        <w:sectPr>
          <w:pgSz w:w="11900" w:h="16838" w:orient="portrait"/>
          <w:cols w:equalWidth="0" w:num="2">
            <w:col w:w="1040" w:space="40"/>
            <w:col w:w="10340"/>
          </w:cols>
          <w:pgMar w:left="240" w:top="131" w:right="239" w:bottom="1440" w:gutter="0" w:footer="0" w:header="0"/>
          <w:type w:val="continuous"/>
        </w:sectPr>
      </w:pPr>
    </w:p>
    <w:p>
      <w:pPr>
        <w:spacing w:after="0" w:line="54"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built MongoDB to be a modern, general purpose database platform. We believe that organizations should be able to run our platform anywhere: from a developer's laptop, to an enterprise data center, or in the public cloud. Our core offerings are MongoDB Enterprise Advanced, MongoDB Atlas and Community Server.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 To encourage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developer usage, familiarity and adoption of our platform, we offer Community Server as an open source offering, analogous to a "freemium" offering. Community Server is a free-to-download version of our database that does not include all of the features of our commercial platform. MongoDB Atlas is our cloud hosted DBaaS offering that includes comprehensive infrastructure and management of Community Server.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Enterprise Advanced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239" w:lineRule="exact"/>
        <w:rPr>
          <w:sz w:val="20"/>
          <w:szCs w:val="20"/>
          <w:color w:val="auto"/>
        </w:rPr>
      </w:pPr>
    </w:p>
    <w:p>
      <w:pPr>
        <w:ind w:left="10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database. It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224"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Cloud Manager Premium and Ops Manager, our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21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Compass, to help developers and database administrators</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the database visually and to provide a familiar experience for those accustomed to relational databases. Users of Compass can interact with data more easily, and it allows them to visualize the schema of data and to construct ad hoc queries, which can be useful for performance tuning and debugging. For example, Compass users can view and optimize query performance, helping them make better decisions about indexing and document validation.</w:t>
      </w:r>
    </w:p>
    <w:p>
      <w:pPr>
        <w:spacing w:after="0" w:line="210"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Analytics Integrations. </w:t>
      </w:r>
      <w:r>
        <w:rPr>
          <w:rFonts w:ascii="Arial" w:cs="Arial" w:eastAsia="Arial" w:hAnsi="Arial"/>
          <w:sz w:val="16"/>
          <w:szCs w:val="16"/>
          <w:color w:val="auto"/>
        </w:rPr>
        <w:t>We provide integrations to allow data and business analysts to analyze data in applications running on our platform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business intelligence and analytics tools. For integration with business intelligence products like Tableau, analysts can use our MongoDB Connector for BI product. We also provide open source connectors for Spark and Hadoop, which are often used for data warehouse analysis. Our analytics integrations ensure that enterprises can efficiently extract significant value from applications built on our platform.</w:t>
      </w:r>
    </w:p>
    <w:p>
      <w:pPr>
        <w:spacing w:after="0" w:line="193"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 Customers use our technical support to ask database performance questions or troubleshoot issues.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components of our platform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2212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6613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MongoDB Enterprise Advanced represented 64% of our total revenue in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Atlas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is based on Community Server and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MongoDB Atlas is available on AWS, Google Cloud Platform, or GCP, and Microsoft Azure, allowing customers to select their public cloud provider and avoid vendor lock-in. To drive usage and adoption by developers, we recently introduced a free tier for MongoDB Atlas that includes limited processing power and storage.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Server</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We plan to continue to convert Community Server users to paying customers of our more robust, commercial offerings. Our Community Server had been downloaded over 30 million times from our website alone since February 2009.</w:t>
      </w:r>
    </w:p>
    <w:p>
      <w:pPr>
        <w:spacing w:after="0" w:line="16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generate revenue from our Community Server through MongoDB Atlas and our MongoDB Professional package. Our MongoDB Professional package includes access to our graphical user interface product, Compass, our Cloud Manager Premium management suite and technical support, but it does not include a commercial license to our platform.</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offer commercial technical support for customers of our paid, commercial offerings. We offer commercial support in our two subscription packages, MongoDB Enterprise Advanced and MongoDB Professional. In addition, for customers that request greater technical support, we contract with them to provide additional support personnel. Although we offer documentation to drive adoption of best practices, we offer limited support for users of Community Server.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Stitch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June 2017, we introduced a beta version of MongoDB Stitch, a product offering that is designed to simplify application development, further increasing developer productivity and helping deliver applications to market more quickly. MongoDB Stitch is a backend-as-a-service that provides a single, consistent, native interface to the cloud services that modern applications depend on—from authentication, through payments, messaging and the database—allowing developers to spend more time on application performance and user experience.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While representing approximately 10% of our revenue in each of the last two fiscal years,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July 31, 2017, we had over 4,300 customers in more than 85 countries around the world, including 296 customers with $100,000 or greater in ARR and annualized MRR. All affiliated entities are counted as a single customer. No single customer represented more than 5% of our revenue in fiscal year 2017. A representative list of our customers based on customer spend is set forth below by industry vertical.</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Financial Services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60" w:type="dxa"/>
            <w:vAlign w:val="bottom"/>
            <w:tcBorders>
              <w:bottom w:val="single" w:sz="8" w:color="auto"/>
            </w:tcBorders>
            <w:gridSpan w:val="4"/>
          </w:tcPr>
          <w:p>
            <w:pPr>
              <w:ind w:left="1820"/>
              <w:spacing w:after="0"/>
              <w:rPr>
                <w:sz w:val="20"/>
                <w:szCs w:val="20"/>
                <w:color w:val="auto"/>
              </w:rPr>
            </w:pPr>
            <w:r>
              <w:rPr>
                <w:rFonts w:ascii="Arial" w:cs="Arial" w:eastAsia="Arial" w:hAnsi="Arial"/>
                <w:sz w:val="14"/>
                <w:szCs w:val="14"/>
                <w:b w:val="1"/>
                <w:bCs w:val="1"/>
                <w:color w:val="auto"/>
              </w:rPr>
              <w:t>Government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Healthcare</w:t>
            </w: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ADP</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w w:val="91"/>
              </w:rPr>
              <w:t>NYC Department of Sanitation</w:t>
            </w: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Anthem, Inc.</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Barclays</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The Department for Work and Pensions</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AstraZeneca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Capital One</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Defense: Defense Health Agency</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Experian Health</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Equifax</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w w:val="95"/>
              </w:rPr>
              <w:t>U.S. Department of Homeland Security: U.S. Immigration</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Genentech, Inc.</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FICO</w:t>
            </w:r>
          </w:p>
        </w:tc>
        <w:tc>
          <w:tcPr>
            <w:tcW w:w="160" w:type="dxa"/>
            <w:vAlign w:val="bottom"/>
          </w:tcPr>
          <w:p>
            <w:pPr>
              <w:spacing w:after="0"/>
              <w:rPr>
                <w:sz w:val="18"/>
                <w:szCs w:val="18"/>
                <w:color w:val="auto"/>
              </w:rPr>
            </w:pP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and Customs Enforcement</w:t>
            </w: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Genomics England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Goldman Sachs</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Housing and Urban Development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Merrill Corporation</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Veterans Affairs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Morgan Stanley</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799"/>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Media &amp; Entertainment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2"/>
          </w:tcPr>
          <w:p>
            <w:pPr>
              <w:ind w:left="820"/>
              <w:spacing w:after="0"/>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24"/>
                <w:szCs w:val="24"/>
                <w:color w:val="auto"/>
              </w:rPr>
            </w:pP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Technology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ind w:left="440"/>
              <w:spacing w:after="0"/>
              <w:rPr>
                <w:sz w:val="20"/>
                <w:szCs w:val="20"/>
                <w:color w:val="auto"/>
              </w:rPr>
            </w:pPr>
            <w:r>
              <w:rPr>
                <w:rFonts w:ascii="Arial" w:cs="Arial" w:eastAsia="Arial" w:hAnsi="Arial"/>
                <w:sz w:val="14"/>
                <w:szCs w:val="14"/>
                <w:b w:val="1"/>
                <w:bCs w:val="1"/>
                <w:color w:val="auto"/>
              </w:rPr>
              <w:t>Telecommunications</w:t>
            </w:r>
          </w:p>
        </w:tc>
      </w:tr>
      <w:tr>
        <w:trPr>
          <w:trHeight w:val="201"/>
        </w:trPr>
        <w:tc>
          <w:tcPr>
            <w:tcW w:w="2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Business Insider, Inc.</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eBay</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Adobe</w:t>
            </w: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Bell Canada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Elsevier Ltd.</w:t>
            </w:r>
          </w:p>
        </w:tc>
        <w:tc>
          <w:tcPr>
            <w:tcW w:w="2440" w:type="dxa"/>
            <w:vAlign w:val="bottom"/>
            <w:gridSpan w:val="4"/>
          </w:tcPr>
          <w:p>
            <w:pPr>
              <w:ind w:left="140"/>
              <w:spacing w:after="0"/>
              <w:rPr>
                <w:sz w:val="20"/>
                <w:szCs w:val="20"/>
                <w:color w:val="auto"/>
              </w:rPr>
            </w:pPr>
            <w:r>
              <w:rPr>
                <w:rFonts w:ascii="Arial" w:cs="Arial" w:eastAsia="Arial" w:hAnsi="Arial"/>
                <w:sz w:val="18"/>
                <w:szCs w:val="18"/>
                <w:color w:val="auto"/>
              </w:rPr>
              <w:t>OTTO</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Amadeus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Cisco</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Guardian News and</w:t>
            </w:r>
          </w:p>
        </w:tc>
        <w:tc>
          <w:tcPr>
            <w:tcW w:w="2440" w:type="dxa"/>
            <w:vAlign w:val="bottom"/>
            <w:gridSpan w:val="4"/>
          </w:tcPr>
          <w:p>
            <w:pPr>
              <w:ind w:left="140"/>
              <w:spacing w:after="0"/>
              <w:rPr>
                <w:sz w:val="20"/>
                <w:szCs w:val="20"/>
                <w:color w:val="auto"/>
              </w:rPr>
            </w:pPr>
            <w:r>
              <w:rPr>
                <w:rFonts w:ascii="Arial" w:cs="Arial" w:eastAsia="Arial" w:hAnsi="Arial"/>
                <w:sz w:val="18"/>
                <w:szCs w:val="18"/>
                <w:color w:val="auto"/>
              </w:rPr>
              <w:t>Staples</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Checkr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w w:val="99"/>
              </w:rPr>
              <w:t>Swisscom Switzerland Ltd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Media Ltd</w:t>
            </w:r>
          </w:p>
        </w:tc>
        <w:tc>
          <w:tcPr>
            <w:tcW w:w="2440" w:type="dxa"/>
            <w:vAlign w:val="bottom"/>
            <w:gridSpan w:val="4"/>
          </w:tcPr>
          <w:p>
            <w:pPr>
              <w:ind w:left="140"/>
              <w:spacing w:after="0"/>
              <w:rPr>
                <w:sz w:val="20"/>
                <w:szCs w:val="20"/>
                <w:color w:val="auto"/>
              </w:rPr>
            </w:pPr>
            <w:r>
              <w:rPr>
                <w:rFonts w:ascii="Arial" w:cs="Arial" w:eastAsia="Arial" w:hAnsi="Arial"/>
                <w:sz w:val="18"/>
                <w:szCs w:val="18"/>
                <w:color w:val="auto"/>
              </w:rPr>
              <w:t>The Topps Company, Inc.</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Dell, Inc.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T-Mobile</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NOS Inovação, S.A.</w:t>
            </w:r>
          </w:p>
        </w:tc>
        <w:tc>
          <w:tcPr>
            <w:tcW w:w="2440" w:type="dxa"/>
            <w:vAlign w:val="bottom"/>
            <w:gridSpan w:val="4"/>
          </w:tcPr>
          <w:p>
            <w:pPr>
              <w:ind w:left="140"/>
              <w:spacing w:after="0"/>
              <w:rPr>
                <w:sz w:val="20"/>
                <w:szCs w:val="20"/>
                <w:color w:val="auto"/>
              </w:rPr>
            </w:pPr>
            <w:r>
              <w:rPr>
                <w:rFonts w:ascii="Arial" w:cs="Arial" w:eastAsia="Arial" w:hAnsi="Arial"/>
                <w:sz w:val="18"/>
                <w:szCs w:val="18"/>
                <w:color w:val="auto"/>
              </w:rPr>
              <w:t>Urban Outfitters, Inc.</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eHarmony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Zayo Group</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Sky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Expedia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Salesforce.com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Splunk Inc.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Sprinklr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Squarespace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Symantec</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Barclays is a major global financial services provider engaged in retail banking, credit cards, wholesale banking, investment banking, wealth management and investment management services.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Barclays' core banking systems are predominantly mainframe-based. Like many companies in financial services, Barclays has undertaken a massive effort to digitize the bank, and has found that some of the older infrastructure and systems are unable to provide the flexibility and speed of change expected. For example, the rigid nature of the relational platforms has made it challenging to add new features to the Barclays customer portal, such as enriched transaction information or providing a single view of customer holdings across products.</w:t>
      </w:r>
    </w:p>
    <w:p>
      <w:pPr>
        <w:spacing w:after="0" w:line="197" w:lineRule="exact"/>
        <w:rPr>
          <w:sz w:val="20"/>
          <w:szCs w:val="20"/>
          <w:color w:val="auto"/>
        </w:rPr>
      </w:pPr>
    </w:p>
    <w:p>
      <w:pPr>
        <w:jc w:val="both"/>
        <w:ind w:right="320" w:firstLine="341"/>
        <w:spacing w:after="0" w:line="259" w:lineRule="auto"/>
        <w:rPr>
          <w:sz w:val="20"/>
          <w:szCs w:val="20"/>
          <w:color w:val="auto"/>
        </w:rPr>
      </w:pPr>
      <w:r>
        <w:rPr>
          <w:rFonts w:ascii="Arial" w:cs="Arial" w:eastAsia="Arial" w:hAnsi="Arial"/>
          <w:sz w:val="18"/>
          <w:szCs w:val="18"/>
          <w:color w:val="auto"/>
        </w:rPr>
        <w:t>As the scale of digital adoption increased with millions of customers accessing their account details online, mainframe utilization costs increased, too. In addition, the mainframe presented a single point of failure, and on occasions when the mainframe infrastructure was unavailable all digital channels had to be taken offline.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To address the multiple challenges of enhanced resilience, extensibility and digital scale, Barclays turned to MongoDB Enterprise Advanced in 2012. With our support, Barclays set up a Center of Excellence to help adopt the new technology, establish a set of core technologies, and drive multiple use cases on our platform. One of Barclays' first mission-critical uses of our platform was an Operational Data Store (ODS), a highly flexible and scalable system for serving data to multiple real-time applications across the bank. Among other things, ODS stores customers' product holding details, balances and transaction histories, and allows customers to access them quickly and easily via web and mobile. Another innovative application provides a "single view" of every interaction a customer has with the bank. This application handles an average of 20 million transactions a day and enables improved customer service at all touch points, as well as faster fraud detection. Since adopting our platform, Barclays is seeing the following benefits:</w:t>
      </w:r>
    </w:p>
    <w:p>
      <w:pPr>
        <w:spacing w:after="0" w:line="18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performance improvements in query response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Improved resiliency.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Opportunities to save cost by offloading a significant volume of transactions from the core legacy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developer productivity, including the ability to develop apps and move them to production within weeks.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Bosch Software Innovations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Bosch Software Innovations has been an industry leader in the Internet of Things for nearly 10 years. On a global scale, the company designs, develops, and operates software and system solutions for the areas of mobility, smart city, energy, manufacturing, agriculture, health, as well as smart homes and buildings. By creating a layer of software and data on top of devices and machines, Bosch Software Innovations saw that it could deliver completely new business opportunities, such as predictive failure of devices and quality control systems in more than 250 IoT projects, including aircraft manufacturing, agriculture and connected homes and cars. The Bosch IoT Suite is a comprehensive toolbox in the cloud provided as a Platform as a Service to Bosch Software Innovations customers and other business units within the Bosch Group. It allows the secure and efficient interaction of devices, users, and enterprise systems on a central, open software platform.</w:t>
      </w:r>
    </w:p>
    <w:p>
      <w:pPr>
        <w:spacing w:after="0" w:line="20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During the early development of the Bosch IoT Suite, Bosch Software Innovations quickly realized that relational databases could not support the volume, speed and complexity of data being generated across such a vast spectrum of potential use cases. The inflexible, pre-determined schema of a relational database made relational databases a poor choice for such varied data and dynamic use cases.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Bosch IoT Suite utilizes MongoDB Enterprise Advanced to store, manage and analyze its data in real time. MongoDB's flexibility, high performance and scalability enabled the Bosch IoT Suite to handle the massive variety and velocity of data required by Bosch Software Innovations' customers. By building on MongoDB starting in 2012, Bosch Software Innovations has reported the following benefits:</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Cisco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Situation: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ability to easily adapt to new data sources, allowing the Bosch IoT Suite to connect with millions of devices, supporting multiple new revenue streams.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Support of continuous innovation by making it simple for developers to make changes and improving developer productivity.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Real-time analysis, which would not have been possible on relational databases.</w:t>
      </w:r>
    </w:p>
    <w:p>
      <w:pPr>
        <w:spacing w:after="0" w:line="1041" w:lineRule="exact"/>
        <w:rPr>
          <w:sz w:val="20"/>
          <w:szCs w:val="20"/>
          <w:color w:val="auto"/>
        </w:rPr>
      </w:pPr>
    </w:p>
    <w:p>
      <w:pPr>
        <w:sectPr>
          <w:pgSz w:w="11900" w:h="16838" w:orient="portrait"/>
          <w:cols w:equalWidth="0" w:num="2">
            <w:col w:w="740" w:space="340"/>
            <w:col w:w="10320"/>
          </w:cols>
          <w:pgMar w:left="240" w:top="131" w:right="259" w:bottom="1440" w:gutter="0" w:footer="0" w:header="0"/>
          <w:type w:val="continuous"/>
        </w:sectPr>
      </w:pPr>
    </w:p>
    <w:p>
      <w:pPr>
        <w:spacing w:after="0" w:line="4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Cisco Systems, Inc. is the largest networking company in the world. Cisco's eCommerce Platform is its primary means of doing business with partners and customers, serving 140,000 global users and driving $40+ billion of Cisco's business annually. It handles the online configuration, pricing and purchasing of all Cisco products globally.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Originally built on a legacy database, the eCommerce Platform handles an average of 3.6 million hits a day, rising to six million a day. At peak periods, however, users experienced delays. In addition, the legacy database was not meeting Cisco's uptime service level agreement and was not conducive to supporting the continuous integration of improvements to the platform, a Cisco initiative.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After a rigorous evaluation and series of testing, Cisco migrated its eCommerce Platform to MongoDB Enterprise Advanced. Cisco cited our platform's built-in capabilities for high availability and fault tolerance coupled with guarantees of data integrity as key to its selection. Additionally, migrating to MongoDB simplified Cisco's architecture, providing increased operational efficiency. The eCommerce platform is one of many Cisco applications running on MongoDB Enterprise Advanced. As a customer for over six years, Cisco has built a wide variety of applications on our platform, over a dozen in total. These range from internal use cases such as e-learning and peer reviews, to customer-facing, revenue generating applications for network device monitoring, to multi-platform video streaming and wireless network optimization. Cisco has reported the following benefits as a result of its migration to our platform:</w:t>
      </w:r>
    </w:p>
    <w:p>
      <w:pPr>
        <w:spacing w:after="0" w:line="18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5x improved responsiveness in the application, dramatically improving the user experience.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Improved system resilience and scalability. Cisco validated MongoDB's performance at 5x peak load and recovery from simulated failures in less than two seconds with no administrative intervention.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make system updates in less than five minutes with no downtime, improving agility and operational efficiency.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Expedia, Inc. is a US-based travel company that owns and operates several international brands and over 200 travel booking sites including Expedia.com, Hotels.com, Travelocity, Orbitz and Trivago.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Expedia has traditionally relied on relational databases for the bulk of its applications, but began to encounter a number of challenges several years ago. Expedia.com experiences over 40 million writes and 60 million reads to its databases daily. This load forced the company to buy and build a number of add-on solutions in order to scale its relational infrastructure. Additionally, Expedia has acquired a number of companies over the years, and integrating relational systems from multiple companies with Expedia's back-end systems was difficult and in many cases, impossible. In order for Expedia to maintain its market leading position in the highly competitive online travel market, the company needed technologies that allowed it to bring new applications to production faster than it could with legacy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becoming a customer in 2012, Expedia has used MongoDB Enterprise Advanced to build over 70 applications. Our platform is used extensively within the company. For example, Expedia has migrated booking systems to our platform for Hotwire, HomeAway, Egencia, and a number of other travel properties. Expedia uses our platform for fast search results, reviews, and a new application called Scratchpad, which allows users to easily keep track of all the different travel options they have searched for, including searches across multiple devices. Expedia also uses our platform for its internal travel graph, which tracks revenue and other key business metrics in real-time. Since adopting MongoDB Enterprise Advanced, Expedia has reported the following benefits:</w:t>
      </w:r>
    </w:p>
    <w:p>
      <w:pPr>
        <w:spacing w:after="0" w:line="18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Ability to provision new production applications in less than an hour, orders of magnitude faster than with legacy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4x improvement in efficiency for operations personnel managing database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2x increase in developer productivity.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Sprinklr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Sprinklr is the most complete social media management platform for the enterprise, helping the world's brands reach, engage, and listen to their customers on Facebook, Twitter, and more than 23 other social channels for the purposes of marketing, advertising, research, care, and commerce.</w:t>
      </w:r>
    </w:p>
    <w:p>
      <w:pPr>
        <w:spacing w:after="0" w:line="13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Sprinklr scaled its platform, it needed a database that could handle a high volume of data and with the flexibility to adapt to an ever-changing social media landscape. Sprinklr initially identified a relational database to meet its needs, but realized that this legacy technology could not handle the scale and real-time data generated on social media.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2013, Sprinklr re-platformed its system onto MongoDB Enterprise Advanced, which is used to aggregate and store a continuous stream of real-time social media data. To support the high volume and variety of data, Sprinklr runs more than 800 servers in production, distributed in multiple data centers around the world. By using MongoDB, Sprinklr has reported the following benefits:</w:t>
      </w:r>
    </w:p>
    <w:p>
      <w:pPr>
        <w:spacing w:after="0" w:line="208" w:lineRule="exact"/>
        <w:rPr>
          <w:sz w:val="20"/>
          <w:szCs w:val="20"/>
          <w:color w:val="auto"/>
        </w:rPr>
      </w:pPr>
    </w:p>
    <w:p>
      <w:pPr>
        <w:ind w:left="1080" w:right="86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Dramatic improvement in developer productivity, with the flexibility to have unified data across all social networks and to change data dynamically, which supports the company's capability to roll out more than 100 new features every month.</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cost savings of 55% since migrating from their relational database platform to MongoDB.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Greatly increased scalability, with the current system processing over 60,000 messages per second in near real time, on a deployment holding 550 terabytes of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Database Platform Technology</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designed our platform to address the performance, scalability, flexibility and reliability demands of modern applications while maintaining the core capabilities of relational databases. We also architected our platform to be easy and intuitive for developers, thereby increasing their productivity and allowing them to spend more time focusing on application development and the end-user experience. We built our platform to run in the cloud, on-premise or in a hybrid environment. Our software is easily configurable, allowing customers to adjust settings and parameters to optimize performance for a specific application and use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platform is based on our proprietary intellectual property, and our customers benefit from the following key technical design choices we have made:</w:t>
      </w:r>
    </w:p>
    <w:p>
      <w:pPr>
        <w:spacing w:after="0" w:line="275" w:lineRule="exact"/>
        <w:rPr>
          <w:sz w:val="20"/>
          <w:szCs w:val="20"/>
          <w:color w:val="auto"/>
        </w:rPr>
      </w:pPr>
    </w:p>
    <w:p>
      <w:pPr>
        <w:ind w:left="1080" w:right="6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Nexus Architecture. </w:t>
      </w:r>
      <w:r>
        <w:rPr>
          <w:rFonts w:ascii="Arial" w:cs="Arial" w:eastAsia="Arial" w:hAnsi="Arial"/>
          <w:sz w:val="18"/>
          <w:szCs w:val="18"/>
          <w:color w:val="auto"/>
        </w:rPr>
        <w:t>Our platform architecture, which we call our Nexus Architecture, combines the best of relational and non-relational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databases and enables us to support a broad range of use cases.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Users of our platform realize the core capabilities of relational databases: sophisticated and easy access to data, guarantees of data integrity and enterprise management tools and integrations. We provide sophisticated and efficient access to data using our expressive query language and secondary indices. We ensure data integrity by providing data governance capabilities and strong data consistency, which ensures access to the most up-to-date data.</w:t>
      </w:r>
    </w:p>
    <w:p>
      <w:pPr>
        <w:spacing w:after="0" w:line="210"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Our platform delivers the key benefits of modern database platforms: performance, scalability, flexibility and always-on reliability required by global deployments. Leveraging the benefits of our document data model, we provide developers with the flexibility to incorporate the variety of data required for modern applications and to improve and maintain applications as those requirements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107315</wp:posOffset>
            </wp:positionV>
            <wp:extent cx="5866130" cy="3224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613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Easy-to-Use Drivers and Integrations. </w:t>
      </w:r>
      <w:r>
        <w:rPr>
          <w:rFonts w:ascii="Arial" w:cs="Arial" w:eastAsia="Arial" w:hAnsi="Arial"/>
          <w:sz w:val="16"/>
          <w:szCs w:val="16"/>
          <w:color w:val="auto"/>
        </w:rPr>
        <w:t>A driver is an access layer that sits between the database and an application. We provide drivers in over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programming languages (e.g., Java, Python), which allow developers to interact with our platform using the programming language of their choice. The drivers are customized for each language, providing a natural and intuitive experience for developers, thereby increasing developer productivity. We also provide connectors for Spark and Hadoop, which are often used for data warehouse analysis.</w:t>
      </w:r>
    </w:p>
    <w:p>
      <w:pPr>
        <w:spacing w:after="0" w:line="193"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Pluggable Storage Engine Architecture. </w:t>
      </w:r>
      <w:r>
        <w:rPr>
          <w:rFonts w:ascii="Arial" w:cs="Arial" w:eastAsia="Arial" w:hAnsi="Arial"/>
          <w:sz w:val="16"/>
          <w:szCs w:val="16"/>
          <w:color w:val="auto"/>
        </w:rPr>
        <w:t>A storage engine is the component of the database that is responsible for managing how data is stored,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in memory and on disk. Selecting the right storage engine can significantly impact the performance of an application. We have implemented a pluggable storage engine architecture, allowing developers to choose the appropriate storage engine for their application. Developers can choose from our selection of storage engines or develop one of their own, although the vast majority of our customers use one of our storage engines. This pluggable storage engine architecture and our selection of available storage engines allows us to support a wide range of use cases. In addition, our pluggable storage engine architecture provides us with flexibility to adapt our platform to capture opportunities created from new technology trends or use cases.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 Our partners include Accenture, Adobe, AWS, Cisco, Google, Infosys, Microsoft, Splunk, Tableau and more than 1,000 other organizations.</w:t>
      </w:r>
    </w:p>
    <w:p>
      <w:pPr>
        <w:spacing w:after="0" w:line="172"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embraced the trend toward open source software in order to drive developer awareness of, engagement with and adoption of our platform. We created our Community Server offering to let developers use, experiment and evaluate our platform frictionlessly, which we believe has contributed to our platform's popularity. We believe that developers are often advocates for us because of our developer-focused approach. As a result, our direct sales prospects are often familiar with our platform and may have already built applications using our technology. In order to assess the most likely commercial prospects, we employ a process-oriented and data-driven approach to sales. We also utilize advanced marketing technologies and processes to drive awareness and engagement and educate and convert prospects into customers. As customers expand their usage of our platform, our relationships with them often evolve to include technology and business leaders within their organizations and our goal is get organizations to standardize on our platform. Once our customers reach a certain spending level with us, we support them with customer success advocates to ensure their satisfaction and expand their usage of our platform.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July 31, 2017, we had 324 employees in our sales and marketing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teams are organized into three primary groups: the server team, the cloud team and the drivers and integrations team.</w:t>
      </w:r>
    </w:p>
    <w:p>
      <w:pPr>
        <w:spacing w:after="0" w:line="248"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July 31, 2017, we had 211 employees in our research and development organization. We intend to continue to invest in our research and development capabilities to extend our platform. Research and development expense totaled $33.3 million, $43.5 million, $51.8 million and $28.8 million in fiscal years 2015, 2016 and 2017 and the six months ended July 31,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262"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flexible deployment model, including in the cloud, on-premise or in a hybrid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primarily compete with established relational database software providers such as IBM, Microsoft, Oracle and other similar companies. We also compete with non-relational database software providers and certain cloud providers such as AWS, GCP and Microsoft Azure that offer basic database functionality.</w:t>
      </w:r>
    </w:p>
    <w:p>
      <w:pPr>
        <w:spacing w:after="0" w:line="116"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In addition, some large software and internet companies may seek to enter our market. With the introduction of new technologies and new market entrants, we expect competition to intensify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16"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July 31, 2017, in the United States, we had been issued eight patents, which expire between 2030 and 2033, and had 36 patent applications pending for examination, three allowed patent applications and 4 pending provisional applications. In addition, as of July 31, 2017, we had 12 registered trademarks in the United States and one pending trademark application in the United States.</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We offer Community Server under the AGPL. The AGPL permits users to run the database without charge but subject to certain terms and conditions.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AGPL, we limit the appeal to other parties, including public cloud vendors, of monetizing our software without licensing it from us, further supporting our software subscription business model.</w:t>
      </w:r>
    </w:p>
    <w:p>
      <w:pPr>
        <w:spacing w:after="0" w:line="172"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July 31, 2017, we had a total of 820 employees, including 275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principal executive office is located in New York, New York and consists of approximately 63,722 square feet of space under a lease that expires in December 2018. We also lease space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Dublin, Ireland, our international headquarters, under a lease that expires in December 2026. We lease 27 other offices around the world for our employees, including in Palo Alto, Austin, London, Sydney and Gurgaon, India.</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with respect to our executive officers and directors, including their ages as of July 31, 2017:</w:t>
      </w:r>
    </w:p>
    <w:p>
      <w:pPr>
        <w:sectPr>
          <w:pgSz w:w="11900" w:h="16838" w:orient="portrait"/>
          <w:cols w:equalWidth="0" w:num="1">
            <w:col w:w="11400"/>
          </w:cols>
          <w:pgMar w:left="240" w:top="131" w:right="259" w:bottom="1440" w:gutter="0" w:footer="0" w:header="0"/>
        </w:sectPr>
      </w:pP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 Ittycheria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Eliot Horowitz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Gordon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Carlos Delatorre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Meagen Eisenberg</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Non-Employee Directors</w:t>
      </w:r>
    </w:p>
    <w:p>
      <w:pPr>
        <w:ind w:left="1140"/>
        <w:spacing w:after="0" w:line="200" w:lineRule="auto"/>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(1)(2)</w:t>
      </w:r>
    </w:p>
    <w:p>
      <w:pPr>
        <w:ind w:left="1140"/>
        <w:spacing w:after="0" w:line="185" w:lineRule="auto"/>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(3)</w:t>
      </w:r>
    </w:p>
    <w:p>
      <w:pPr>
        <w:ind w:left="1140"/>
        <w:spacing w:after="0" w:line="184" w:lineRule="auto"/>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(1)(2)</w:t>
      </w:r>
    </w:p>
    <w:p>
      <w:pPr>
        <w:ind w:left="1140"/>
        <w:spacing w:after="0"/>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15176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1680" w:hanging="531"/>
        <w:spacing w:after="0"/>
        <w:tabs>
          <w:tab w:leader="none" w:pos="1680" w:val="left"/>
        </w:tabs>
        <w:numPr>
          <w:ilvl w:val="0"/>
          <w:numId w:val="54"/>
        </w:numPr>
        <w:rPr>
          <w:rFonts w:ascii="Arial" w:cs="Arial" w:eastAsia="Arial" w:hAnsi="Arial"/>
          <w:sz w:val="11"/>
          <w:szCs w:val="11"/>
          <w:color w:val="auto"/>
        </w:rPr>
      </w:pPr>
      <w:r>
        <w:rPr>
          <w:rFonts w:ascii="Arial" w:cs="Arial" w:eastAsia="Arial" w:hAnsi="Arial"/>
          <w:sz w:val="14"/>
          <w:szCs w:val="14"/>
          <w:color w:val="auto"/>
        </w:rPr>
        <w:t>Member of our compensation committee.</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4"/>
        </w:numPr>
        <w:rPr>
          <w:rFonts w:ascii="Arial" w:cs="Arial" w:eastAsia="Arial" w:hAnsi="Arial"/>
          <w:sz w:val="10"/>
          <w:szCs w:val="10"/>
          <w:color w:val="auto"/>
        </w:rPr>
      </w:pPr>
      <w:r>
        <w:rPr>
          <w:rFonts w:ascii="Arial" w:cs="Arial" w:eastAsia="Arial" w:hAnsi="Arial"/>
          <w:sz w:val="12"/>
          <w:szCs w:val="12"/>
          <w:color w:val="auto"/>
        </w:rPr>
        <w:t>Member of our nominating and corporate governance committee.</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54"/>
        </w:numPr>
        <w:rPr>
          <w:rFonts w:ascii="Arial" w:cs="Arial" w:eastAsia="Arial" w:hAnsi="Arial"/>
          <w:sz w:val="11"/>
          <w:szCs w:val="11"/>
          <w:color w:val="auto"/>
        </w:rPr>
      </w:pPr>
      <w:r>
        <w:rPr>
          <w:rFonts w:ascii="Arial" w:cs="Arial" w:eastAsia="Arial" w:hAnsi="Arial"/>
          <w:sz w:val="14"/>
          <w:szCs w:val="14"/>
          <w:color w:val="auto"/>
        </w:rPr>
        <w:t>Member of our audit committee.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0</wp:posOffset>
            </wp:positionV>
            <wp:extent cx="579755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2"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6"/>
          <w:szCs w:val="16"/>
          <w:color w:val="auto"/>
        </w:rPr>
        <w:t>50</w:t>
        <w:tab/>
        <w:t>President, Chief Executive Officer and Director</w:t>
      </w:r>
    </w:p>
    <w:p>
      <w:pPr>
        <w:spacing w:after="0" w:line="38" w:lineRule="exact"/>
        <w:rPr>
          <w:sz w:val="20"/>
          <w:szCs w:val="20"/>
          <w:color w:val="auto"/>
        </w:rPr>
      </w:pPr>
    </w:p>
    <w:p>
      <w:pPr>
        <w:ind w:left="580" w:hanging="41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Chief Technology Officer, Co-Founder and Director</w:t>
      </w:r>
    </w:p>
    <w:p>
      <w:pPr>
        <w:spacing w:after="0" w:line="32" w:lineRule="exact"/>
        <w:rPr>
          <w:rFonts w:ascii="Arial" w:cs="Arial" w:eastAsia="Arial" w:hAnsi="Arial"/>
          <w:sz w:val="16"/>
          <w:szCs w:val="16"/>
          <w:color w:val="auto"/>
        </w:rPr>
      </w:pPr>
    </w:p>
    <w:p>
      <w:pPr>
        <w:ind w:left="580" w:hanging="41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Chief Revenue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-541020</wp:posOffset>
            </wp:positionV>
            <wp:extent cx="579755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-266700</wp:posOffset>
            </wp:positionV>
            <wp:extent cx="579755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6985</wp:posOffset>
            </wp:positionV>
            <wp:extent cx="579755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hanging="41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Chairman of the Board and Co-Founder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-777240</wp:posOffset>
            </wp:positionV>
            <wp:extent cx="579755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-451485</wp:posOffset>
            </wp:positionV>
            <wp:extent cx="579755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-125730</wp:posOffset>
            </wp:positionV>
            <wp:extent cx="579755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299" w:lineRule="exact"/>
        <w:rPr>
          <w:sz w:val="20"/>
          <w:szCs w:val="20"/>
          <w:color w:val="auto"/>
        </w:rPr>
      </w:pPr>
    </w:p>
    <w:p>
      <w:pPr>
        <w:sectPr>
          <w:pgSz w:w="11900" w:h="16838" w:orient="portrait"/>
          <w:cols w:equalWidth="0" w:num="2">
            <w:col w:w="5220" w:space="380"/>
            <w:col w:w="5800"/>
          </w:cols>
          <w:pgMar w:left="240" w:top="131"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Dev Ittycheria </w:t>
      </w:r>
      <w:r>
        <w:rPr>
          <w:rFonts w:ascii="Arial" w:cs="Arial" w:eastAsia="Arial" w:hAnsi="Arial"/>
          <w:sz w:val="16"/>
          <w:szCs w:val="16"/>
          <w:color w:val="auto"/>
        </w:rPr>
        <w:t>has served as our President and Chief Executive Officer and as a member of our board of directors since September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he co-founded and for which he served as Chief Executive Officer. Mr. Ittycheria currently serves on the board of directors of athenahealth, Inc., a public cloud-based services company, and Datadog, Inc., a software company. From January 2010 to August 2014, Mr. Ittycheria served on the board of directors of Bazaarvoice, Inc., a public software company. Mr. Ittycheria received his B.S. in Electrical Engineering from Rutgers University. We believe that Mr. Ittycheria is qualified to serve on our board of directors because of his experience building and leading high growth businesses, his service on the boards of multiple public companies and his expertise and insight into corporate matters as our Chief Executive Officer.</w:t>
      </w:r>
    </w:p>
    <w:p>
      <w:pPr>
        <w:spacing w:after="0" w:line="201" w:lineRule="exact"/>
        <w:rPr>
          <w:sz w:val="20"/>
          <w:szCs w:val="20"/>
          <w:color w:val="auto"/>
        </w:rPr>
      </w:pPr>
    </w:p>
    <w:p>
      <w:pPr>
        <w:jc w:val="both"/>
        <w:ind w:right="140" w:firstLine="432"/>
        <w:spacing w:after="0" w:line="298" w:lineRule="auto"/>
        <w:rPr>
          <w:sz w:val="20"/>
          <w:szCs w:val="20"/>
          <w:color w:val="auto"/>
        </w:rPr>
      </w:pPr>
      <w:r>
        <w:rPr>
          <w:rFonts w:ascii="Arial" w:cs="Arial" w:eastAsia="Arial" w:hAnsi="Arial"/>
          <w:sz w:val="16"/>
          <w:szCs w:val="16"/>
          <w:i w:val="1"/>
          <w:iCs w:val="1"/>
          <w:color w:val="auto"/>
        </w:rPr>
        <w:t xml:space="preserve">Eliot Horowitz </w:t>
      </w:r>
      <w:r>
        <w:rPr>
          <w:rFonts w:ascii="Arial" w:cs="Arial" w:eastAsia="Arial" w:hAnsi="Arial"/>
          <w:sz w:val="16"/>
          <w:szCs w:val="16"/>
          <w:color w:val="auto"/>
        </w:rPr>
        <w:t>is one of our co-founders and has served as our Chief Technology Officer since January 2008. Prior to founding MongoDB, Mr. Horowitz</w:t>
      </w:r>
      <w:r>
        <w:rPr>
          <w:rFonts w:ascii="Arial" w:cs="Arial" w:eastAsia="Arial" w:hAnsi="Arial"/>
          <w:sz w:val="16"/>
          <w:szCs w:val="16"/>
          <w:i w:val="1"/>
          <w:iCs w:val="1"/>
          <w:color w:val="auto"/>
        </w:rPr>
        <w:t xml:space="preserve"> </w:t>
      </w:r>
      <w:r>
        <w:rPr>
          <w:rFonts w:ascii="Arial" w:cs="Arial" w:eastAsia="Arial" w:hAnsi="Arial"/>
          <w:sz w:val="16"/>
          <w:szCs w:val="16"/>
          <w:color w:val="auto"/>
        </w:rPr>
        <w:t>co-founded ShopWiki Corp., an online retail search engine, in January 2005, where he served as the Chief Technology Officer until its sale in November 2010. Mr. Horowitz began his career at DoubleClick, Inc., a digital advertising company. Mr. Horowitz serves on the advisory board of the NYC Tech Talent Pipeline. Mr. Horowitz received his B.S. in Computer Science from Brown University. We believe that Mr. Horowitz is qualified to serve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our board of directors due to his deep understanding of our business and his knowledge of the software industry.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Michael Gordon </w:t>
      </w:r>
      <w:r>
        <w:rPr>
          <w:rFonts w:ascii="Arial" w:cs="Arial" w:eastAsia="Arial" w:hAnsi="Arial"/>
          <w:sz w:val="16"/>
          <w:szCs w:val="16"/>
          <w:color w:val="auto"/>
        </w:rPr>
        <w:t>has served as our Chief Financial Officer since July 2015. Prior to joining us, Mr. Gordon worked at Yodle, Inc., a local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Share Our Strength, a non-profit, anti-hunger organization. Mr. Gordon received his A.B. from Harvard College and his M.B.A. from Harvard Business School.</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Carlos Delatorre </w:t>
      </w:r>
      <w:r>
        <w:rPr>
          <w:rFonts w:ascii="Arial" w:cs="Arial" w:eastAsia="Arial" w:hAnsi="Arial"/>
          <w:sz w:val="18"/>
          <w:szCs w:val="18"/>
          <w:color w:val="auto"/>
        </w:rPr>
        <w:t>has served as our Chief Revenue Officer since December 2014. Prior to joining us, Mr. Delatorre served as Senior Vice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at ClearSlide, Inc., a provider of sales management software, from January 2013 to December 2014. Prior to that, he was Vice President of Sales for DynamicOps, Inc., a software company, from June 2011 through its acquisition by VMware, Inc. in January 2013. Mr. Delatorre received his B.A. in Resource Management and his M.B.A. in finance from Troy University.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Meagen Eisenberg </w:t>
      </w:r>
      <w:r>
        <w:rPr>
          <w:rFonts w:ascii="Arial" w:cs="Arial" w:eastAsia="Arial" w:hAnsi="Arial"/>
          <w:sz w:val="18"/>
          <w:szCs w:val="18"/>
          <w:color w:val="auto"/>
        </w:rPr>
        <w:t>has served as our Chief Marketing Officer since March 2015. Prior to joining us, Ms. Eisenberg served as Vice President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Demand Generation at DocuSign, Inc., a technology company, where she worked from December 2011 to March 2015. Ms. Eisenberg received her B.S. in Management Information Systems with a minor in Computer Science from California Polytechnic University at San Luis Obispo and her M.B.A., with a focus on marketing and strategy, from Yale School of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Kevin P. Ryan </w:t>
      </w:r>
      <w:r>
        <w:rPr>
          <w:rFonts w:ascii="Arial" w:cs="Arial" w:eastAsia="Arial" w:hAnsi="Arial"/>
          <w:sz w:val="16"/>
          <w:szCs w:val="16"/>
          <w:color w:val="auto"/>
        </w:rPr>
        <w:t>is one of our co-founders and has served as a member of our board of directors since March 2008. Until February 2016, Mr. Ryan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Gilt Groupe, an e-commerce company that he co-founded in April 2007. Mr. Ryan also co-founded Business Insider, Inc. that was sold in September 2015, as well as Nomad Health, Inc. and Workframe, Inc., where he serves as Chairman. From July 1996 to July 2005, Mr. Ryan served as President and later as Chief Executive Officer at DoubleClick, Inc., a digital advertising company. Mr. Ryan serves on various educational and non-profit boards, including Yale Corporation, The Partnership for New York City, where he is Vice Chairman, the Partnership for New York City's Innovation Council, where he is Chairman, the CFR Committee on Foreign Affairs, The Trust for Governors Island and TECH:NYC. We believe that Mr. Ryan is qualified to serve on our board of directors based on his experience founding and leading innovative technology companies.</w:t>
      </w:r>
    </w:p>
    <w:p>
      <w:pPr>
        <w:spacing w:after="0" w:line="17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Roelof Botha </w:t>
      </w:r>
      <w:r>
        <w:rPr>
          <w:rFonts w:ascii="Arial" w:cs="Arial" w:eastAsia="Arial" w:hAnsi="Arial"/>
          <w:sz w:val="16"/>
          <w:szCs w:val="16"/>
          <w:color w:val="auto"/>
        </w:rPr>
        <w:t>has served as a member of our board of directors since December 2013. Since January 2003, Mr. Botha has served in various positions at</w:t>
      </w:r>
      <w:r>
        <w:rPr>
          <w:rFonts w:ascii="Arial" w:cs="Arial" w:eastAsia="Arial" w:hAnsi="Arial"/>
          <w:sz w:val="16"/>
          <w:szCs w:val="16"/>
          <w:i w:val="1"/>
          <w:iCs w:val="1"/>
          <w:color w:val="auto"/>
        </w:rPr>
        <w:t xml:space="preserve"> </w:t>
      </w:r>
      <w:r>
        <w:rPr>
          <w:rFonts w:ascii="Arial" w:cs="Arial" w:eastAsia="Arial" w:hAnsi="Arial"/>
          <w:sz w:val="16"/>
          <w:szCs w:val="16"/>
          <w:color w:val="auto"/>
        </w:rPr>
        <w:t>Sequoia Capital, a venture capital firm, including as a Managing Member of Sequoia Capital Operations, LLC since 2007. From March 2000 to January 2003, Mr. Botha served in various positions at PayPal, Inc., a public online payments company, including as Chief Financial Officer. Mr. Botha currently serves on the board of directors of Square, Inc., a public provider of payments, financial and marketing services, and on the board of directors of Natera, Inc., a public genetic testing company, as well as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experience serving on the boards of directors of public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Hope Cochran </w:t>
      </w:r>
      <w:r>
        <w:rPr>
          <w:rFonts w:ascii="Arial" w:cs="Arial" w:eastAsia="Arial" w:hAnsi="Arial"/>
          <w:sz w:val="16"/>
          <w:szCs w:val="16"/>
          <w:color w:val="auto"/>
        </w:rPr>
        <w:t>has served as a member of our board of directors since December 2016. Ms. Cochran has served as a venture partner at Madrona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Group since January 2017. From September 2013 to June 2016, Ms. Cochran served as the Chief Financial Officer of the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human resources company that she founded. Ms. Cochran has served on the board of directors of Hasbro, Inc., a public toy and board game company, since June 2016. Ms. Cochran received her B.A. in Economics and Music from Stanford University. We believe that Ms. Cochran is qualified to serve on our board of directors based on her financial and operating background in the technology and telecom sectors and her experience serving on the board of directors of a public company.</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Charles M. Hazard, Jr. </w:t>
      </w:r>
      <w:r>
        <w:rPr>
          <w:rFonts w:ascii="Arial" w:cs="Arial" w:eastAsia="Arial" w:hAnsi="Arial"/>
          <w:sz w:val="16"/>
          <w:szCs w:val="16"/>
          <w:color w:val="auto"/>
        </w:rPr>
        <w:t>has served as a member of our board of directors since October 2009. Mr. Hazard is a co-founder and has served as a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Greylock Partners,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Tom Killalea </w:t>
      </w:r>
      <w:r>
        <w:rPr>
          <w:rFonts w:ascii="Arial" w:cs="Arial" w:eastAsia="Arial" w:hAnsi="Arial"/>
          <w:sz w:val="16"/>
          <w:szCs w:val="16"/>
          <w:color w:val="auto"/>
        </w:rPr>
        <w:t>has served as a member of our board of directors since December 2015. Mr. Killalea has been an advisor to private technology-driven</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since November 2014 and is the owner and President of Aoinle, LLC, a consulting firm. From May 1998 to November 2014, Mr. Killalea served in various leadership roles at Amazon.com, Inc., an electronic commerce and cloud computing company, most recently as its Vice President of Technology for the Kindle Content Ecosystem from January 2008 to November 2014. He also served as its Vice President of Infrastructure and Distributed Systems from 2003 to 2008 and prior to that as Chief Information Security Officer and Vice President of Security. Mr. Killalea currently serves on the board of directors of Capital One Financial Corp., a public company. Mr. Killalea previously served on the board of directors of Xoom Corporation from March 2015 until its acquisition by PayPal, Inc. in November 2015. Mr. Killalea received his B.Ed. in Education from the National University of Ireland, and his B.S. in Computer Science from Trinity College Dublin. We believe that Mr. Killalea is qualified to serve on our board of directors based on his product, technology and security experience, as well as his experience advising leading technology companies.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John McMahon </w:t>
      </w:r>
      <w:r>
        <w:rPr>
          <w:rFonts w:ascii="Arial" w:cs="Arial" w:eastAsia="Arial" w:hAnsi="Arial"/>
          <w:sz w:val="16"/>
          <w:szCs w:val="16"/>
          <w:color w:val="auto"/>
        </w:rPr>
        <w:t>has served as a member of our board of directors since October 2016. From April 2008 to September 2011, Mr. McMahon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startups, including Sprinklr Inc., Snowflake Computing Inc. and Cybereason Inc. In the past, Mr. McMahon has served on the board of directors or as an executive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consultant for AppDynamics, Inc., Glassdoor, Inc., Sumo Logic, Inc. and HubSpot, Inc. Mr. McMahon received his BSEE in Electrical Engineering from New Jersey Institute of Technology. We believe that Mr. McMahon is qualified to serve on our board of directors due to his deep software sales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which will be effective immediately prior to the closing of this offering, our board of directors will be divided into three classes, Class I, Class II and Class III, with members of each class serving staggered three-year terms. Effective upon the closing of this offering, our board of directors will be divided into the following classes: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first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ind w:left="2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second annual meeting of stockholders to be held after</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7"/>
              </w:rPr>
              <w:t>the closing of this offering; and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ind w:left="34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3"/>
              </w:rPr>
              <w:t>, whose terms will expire at our third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10"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of directors is currently nine members, and may be changed only by resolution by a majority of the board of directors. We expect that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our control or management. Our directors may be removed for cause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351"/>
        <w:spacing w:after="0" w:line="302" w:lineRule="auto"/>
        <w:rPr>
          <w:sz w:val="20"/>
          <w:szCs w:val="20"/>
          <w:color w:val="auto"/>
        </w:rPr>
      </w:pPr>
      <w:r>
        <w:rPr>
          <w:rFonts w:ascii="Arial" w:cs="Arial" w:eastAsia="Arial" w:hAnsi="Arial"/>
          <w:sz w:val="15"/>
          <w:szCs w:val="15"/>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Cochran and Messrs. Ryan, Botha, Hazard, Killalea and McMahon, representing six of our eight directors, are "independent directors" as defined under</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current rules and regulations of the SEC and the listing standards of the .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"Certain Relationships and Related Party Transactions."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in connection with this offering, each of which has the composition and responsibilities described below. From time to time, our board of directors may establish other committees to facilitate the management of our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the closing of this offering, our audit committee will consist of three directors, Ms. Cochran and Messrs. Botha and Hazard. Our board of directors has determined that Ms. Cochran and Messrs. Botha and Hazard satisfy the independence requirements for audit committee members under the listing standards of</w:t>
      </w:r>
    </w:p>
    <w:p>
      <w:pPr>
        <w:ind w:right="120"/>
        <w:spacing w:after="0" w:line="281" w:lineRule="auto"/>
        <w:rPr>
          <w:sz w:val="20"/>
          <w:szCs w:val="20"/>
          <w:color w:val="auto"/>
        </w:rPr>
      </w:pPr>
      <w:r>
        <w:rPr>
          <w:rFonts w:ascii="Arial" w:cs="Arial" w:eastAsia="Arial" w:hAnsi="Arial"/>
          <w:sz w:val="16"/>
          <w:szCs w:val="16"/>
          <w:color w:val="auto"/>
        </w:rPr>
        <w:t>the and Rule 10A-3 of the Securities Exchange Act of 1934, as amended, or the Exchange Act. Each member of our audit committee meets the financial literacy requirements under the rules and regulations of and the SEC. Ms. Cochran is the chairman of the audit committee, and our board of directors has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determined that she is an audit committee "financial expert" as defined by Item 407(d) of Regulation S-K under the Securities Act. The principal duties and responsibilities of our audit committee include, among other things:</w:t>
      </w:r>
    </w:p>
    <w:p>
      <w:pPr>
        <w:spacing w:after="0" w:line="205" w:lineRule="exact"/>
        <w:rPr>
          <w:sz w:val="20"/>
          <w:szCs w:val="20"/>
          <w:color w:val="auto"/>
        </w:rPr>
      </w:pPr>
    </w:p>
    <w:p>
      <w:pPr>
        <w:ind w:left="1080" w:right="5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systems of internal control and financial statement audits;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66"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86" w:lineRule="exact"/>
        <w:rPr>
          <w:sz w:val="20"/>
          <w:szCs w:val="20"/>
          <w:color w:val="auto"/>
        </w:rPr>
      </w:pPr>
    </w:p>
    <w:p>
      <w:pPr>
        <w:ind w:left="360"/>
        <w:spacing w:after="0"/>
        <w:tabs>
          <w:tab w:leader="none" w:pos="10160" w:val="left"/>
        </w:tabs>
        <w:rPr>
          <w:sz w:val="20"/>
          <w:szCs w:val="20"/>
          <w:color w:val="auto"/>
        </w:rPr>
      </w:pPr>
      <w:r>
        <w:rPr>
          <w:rFonts w:ascii="Arial" w:cs="Arial" w:eastAsia="Arial" w:hAnsi="Arial"/>
          <w:sz w:val="16"/>
          <w:szCs w:val="16"/>
          <w:color w:val="auto"/>
        </w:rPr>
        <w:t>Our audit committee will operate under a written charter that satisfies the applicable rules of the SEC and the listing standards of the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closing of this offering, our compensation committee will consist of three directors, Messrs. Killalea, McMahon and Ryan. Our board of directors has determined that each of the compensation committee members is a non-employee member of our board of directors as defined in Rule 16b-3 under the Exchange Act and an outside director as that term is defined in Section 162(m) of the Internal Revenue Code of 1986, as amended, or the Code. Mr. Ryan will be the chairman of the compensation committee. The composition of our compensation committee meets the requirements for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286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color w:val="auto"/>
                <w:w w:val="93"/>
              </w:rPr>
              <w:t>independence under the current listing standards of the</w:t>
            </w:r>
          </w:p>
        </w:tc>
        <w:tc>
          <w:tcPr>
            <w:tcW w:w="6300" w:type="dxa"/>
            <w:vAlign w:val="bottom"/>
          </w:tcPr>
          <w:p>
            <w:pPr>
              <w:ind w:left="260"/>
              <w:spacing w:after="0"/>
              <w:rPr>
                <w:sz w:val="20"/>
                <w:szCs w:val="20"/>
                <w:color w:val="auto"/>
              </w:rPr>
            </w:pPr>
            <w:r>
              <w:rPr>
                <w:rFonts w:ascii="Arial" w:cs="Arial" w:eastAsia="Arial" w:hAnsi="Arial"/>
                <w:sz w:val="18"/>
                <w:szCs w:val="18"/>
                <w:color w:val="auto"/>
                <w:w w:val="88"/>
              </w:rPr>
              <w:t>and current SEC rules and regulations. The principal duties and responsibilities of our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compensation committee include, among other things:</w:t>
            </w:r>
          </w:p>
        </w:tc>
        <w:tc>
          <w:tcPr>
            <w:tcW w:w="6300" w:type="dxa"/>
            <w:vAlign w:val="bottom"/>
          </w:tcPr>
          <w:p>
            <w:pPr>
              <w:spacing w:after="0"/>
              <w:rPr>
                <w:sz w:val="19"/>
                <w:szCs w:val="19"/>
                <w:color w:val="auto"/>
              </w:rPr>
            </w:pPr>
          </w:p>
        </w:tc>
      </w:tr>
    </w:tbl>
    <w:p>
      <w:pPr>
        <w:spacing w:after="0" w:line="223" w:lineRule="exact"/>
        <w:rPr>
          <w:sz w:val="20"/>
          <w:szCs w:val="20"/>
          <w:color w:val="auto"/>
        </w:rPr>
      </w:pPr>
    </w:p>
    <w:p>
      <w:pPr>
        <w:ind w:left="1080" w:right="3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compensatory arrangements of our executive officers and other senior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adopting, amending or terminating and approving incentive compensation and equity plans and other benefit programs; and</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86" w:lineRule="exact"/>
        <w:rPr>
          <w:sz w:val="20"/>
          <w:szCs w:val="20"/>
          <w:color w:val="auto"/>
        </w:rPr>
      </w:pPr>
    </w:p>
    <w:p>
      <w:pPr>
        <w:ind w:left="360"/>
        <w:spacing w:after="0"/>
        <w:tabs>
          <w:tab w:leader="none" w:pos="10800" w:val="left"/>
        </w:tabs>
        <w:rPr>
          <w:sz w:val="20"/>
          <w:szCs w:val="20"/>
          <w:color w:val="auto"/>
        </w:rPr>
      </w:pPr>
      <w:r>
        <w:rPr>
          <w:rFonts w:ascii="Arial" w:cs="Arial" w:eastAsia="Arial" w:hAnsi="Arial"/>
          <w:sz w:val="16"/>
          <w:szCs w:val="16"/>
          <w:color w:val="auto"/>
        </w:rPr>
        <w:t>Our compensation committee will operate under a written charter that satisfies the applicable rules of the SEC and the listing standards of the</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Upon the closing of this offering, our nominating and corporate governance committee will consist of three directors, Messrs. Killalea, McMahon and Ryan. Mr. Killalea will be the chairman of the nominating and corporate governance committee. The composition of our nominating and governance committee meets</w:t>
      </w:r>
    </w:p>
    <w:p>
      <w:pPr>
        <w:ind w:right="700"/>
        <w:spacing w:after="0" w:line="261" w:lineRule="auto"/>
        <w:rPr>
          <w:sz w:val="20"/>
          <w:szCs w:val="20"/>
          <w:color w:val="auto"/>
        </w:rPr>
      </w:pPr>
      <w:r>
        <w:rPr>
          <w:rFonts w:ascii="Arial" w:cs="Arial" w:eastAsia="Arial" w:hAnsi="Arial"/>
          <w:sz w:val="18"/>
          <w:szCs w:val="18"/>
          <w:color w:val="auto"/>
        </w:rPr>
        <w:t>the requirements for independence under the current listing standards of the and current SEC rules and regulations. The nominating and corporate governance committee's responsibilities include, among other things:</w:t>
      </w:r>
    </w:p>
    <w:p>
      <w:pPr>
        <w:spacing w:after="0" w:line="205" w:lineRule="exact"/>
        <w:rPr>
          <w:sz w:val="20"/>
          <w:szCs w:val="20"/>
          <w:color w:val="auto"/>
        </w:rPr>
      </w:pPr>
    </w:p>
    <w:p>
      <w:pPr>
        <w:ind w:left="1080" w:right="9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performance of our board of directors, including committees of the board of directors,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directors and orientation of new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nominating and governance committee will operate under a written charter that satisfies the applicable rules of the SEC and the listing standards of</w:t>
      </w:r>
    </w:p>
    <w:p>
      <w:pPr>
        <w:spacing w:after="0" w:line="3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connection with this offering, we intend to adopt an amended and restated Code of Conduct, applicable to all of our employees, executive officers and directors. Following the closing of this offering, the Code of Conduct will be available on our website at www.mongodb.com.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website (www.mongodb.com) as required by applicable law or the listing standards of the . The inclusion of our website address in this prospectus does not include or incorporate by reference into this prospectus the information on or accessible through our website.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our company, nor have they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Historically, we have provided equity-based compensation to our independent directors who are not employees or affiliated with our largest investors for the time and effort necessary to serve as a member of our board of directors. In addition, our non-employee directors are entitled to reimbursement of direct expenses incurred in connection with attending meetings of our board of directors or committees thereof.</w:t>
      </w:r>
    </w:p>
    <w:p>
      <w:pPr>
        <w:spacing w:after="0" w:line="194" w:lineRule="exact"/>
        <w:rPr>
          <w:sz w:val="20"/>
          <w:szCs w:val="20"/>
          <w:color w:val="auto"/>
        </w:rPr>
      </w:pPr>
    </w:p>
    <w:p>
      <w:pPr>
        <w:ind w:right="200" w:firstLine="348"/>
        <w:spacing w:after="0" w:line="284" w:lineRule="auto"/>
        <w:rPr>
          <w:sz w:val="20"/>
          <w:szCs w:val="20"/>
          <w:color w:val="auto"/>
        </w:rPr>
      </w:pPr>
      <w:r>
        <w:rPr>
          <w:rFonts w:ascii="Arial" w:cs="Arial" w:eastAsia="Arial" w:hAnsi="Arial"/>
          <w:sz w:val="16"/>
          <w:szCs w:val="16"/>
          <w:color w:val="auto"/>
        </w:rPr>
        <w:t>The following table sets forth information regarding the compensation earned for service on our board of directors during the year ended January 31, 2017 by our directors who were not also our named executive officers. Dev Ittycheria, our President and Chief Executive Officer, and Eliot Horowitz, our Chief Technology Officer and co-founder, are also members of our board of directors, but did not receive any additional compensation for service as a director.</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Ittycheria's compensation as a named executive officer is set forth below under "Executive Compensation—Summary Compensation Table for Fiscal Year Ended January 31, 2017." Mr. Horowitz is not a named executive officer for the fiscal year ended January 31, 2017.</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w w:val="98"/>
              </w:rPr>
              <w:t>Fees Earned or</w:t>
            </w:r>
          </w:p>
        </w:tc>
        <w:tc>
          <w:tcPr>
            <w:tcW w:w="16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Option Awards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8"/>
              </w:rPr>
              <w:t>Paid in Cash ($)</w:t>
            </w:r>
          </w:p>
        </w:tc>
        <w:tc>
          <w:tcPr>
            <w:tcW w:w="1300" w:type="dxa"/>
            <w:vAlign w:val="bottom"/>
            <w:gridSpan w:val="2"/>
          </w:tcPr>
          <w:p>
            <w:pPr>
              <w:jc w:val="right"/>
              <w:ind w:right="2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(1)(2)</w:t>
            </w:r>
          </w:p>
        </w:tc>
        <w:tc>
          <w:tcPr>
            <w:tcW w:w="52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P. Ryan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Roelof Botha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Hope Cochran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Charles M. Hazard, Jr.</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Eliot Horowitz</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Tom Killalea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84,920</w:t>
            </w:r>
            <w:r>
              <w:rPr>
                <w:rFonts w:ascii="Arial" w:cs="Arial" w:eastAsia="Arial" w:hAnsi="Arial"/>
                <w:sz w:val="14"/>
                <w:szCs w:val="14"/>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84,920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McMahon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68"/>
        </w:numPr>
        <w:rPr>
          <w:rFonts w:ascii="Arial" w:cs="Arial" w:eastAsia="Arial" w:hAnsi="Arial"/>
          <w:sz w:val="10"/>
          <w:szCs w:val="10"/>
          <w:color w:val="auto"/>
        </w:rPr>
      </w:pPr>
      <w:r>
        <w:rPr>
          <w:rFonts w:ascii="Arial" w:cs="Arial" w:eastAsia="Arial" w:hAnsi="Arial"/>
          <w:sz w:val="12"/>
          <w:szCs w:val="12"/>
          <w:color w:val="auto"/>
        </w:rPr>
        <w:t>This column reflects the full grant date fair value of options granted during the year measured pursuant to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director will perform the requisite service for the award to vest in full as required by SEC rules. The assumptions we used in valuing options are described in note 9 to our consolidated financial statements included elsewhere in this prospectus.</w:t>
      </w:r>
    </w:p>
    <w:p>
      <w:pPr>
        <w:spacing w:after="0" w:line="89" w:lineRule="exact"/>
        <w:rPr>
          <w:rFonts w:ascii="Arial" w:cs="Arial" w:eastAsia="Arial" w:hAnsi="Arial"/>
          <w:sz w:val="10"/>
          <w:szCs w:val="10"/>
          <w:color w:val="auto"/>
        </w:rPr>
      </w:pPr>
    </w:p>
    <w:p>
      <w:pPr>
        <w:ind w:left="1680" w:right="26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The table below shows the aggregate number of option awards outstanding, and granted for such individual's service as a director, for each of our directors who is not a named executive officer as of January 31, 2017:</w:t>
      </w:r>
    </w:p>
    <w:p>
      <w:pPr>
        <w:spacing w:after="0" w:line="126"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Kevin P. Ryan</w:t>
            </w:r>
          </w:p>
        </w:tc>
        <w:tc>
          <w:tcPr>
            <w:tcW w:w="1620" w:type="dxa"/>
            <w:vAlign w:val="bottom"/>
            <w:gridSpan w:val="2"/>
            <w:shd w:val="clear" w:color="auto" w:fill="CCEEFF"/>
          </w:tcPr>
          <w:p>
            <w:pPr>
              <w:ind w:left="1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Roelof Botha</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Hope Cochran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Charles M. Hazard, Jr.</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Eliot Horowitz</w:t>
            </w:r>
          </w:p>
        </w:tc>
        <w:tc>
          <w:tcPr>
            <w:tcW w:w="1620" w:type="dxa"/>
            <w:vAlign w:val="bottom"/>
            <w:gridSpan w:val="2"/>
            <w:shd w:val="clear" w:color="auto" w:fill="CCEEFF"/>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Tom Killalea</w:t>
            </w:r>
          </w:p>
        </w:tc>
        <w:tc>
          <w:tcPr>
            <w:tcW w:w="1620" w:type="dxa"/>
            <w:vAlign w:val="bottom"/>
            <w:gridSpan w:val="2"/>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McMahon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540" w:hanging="540"/>
        <w:spacing w:after="0" w:line="239" w:lineRule="auto"/>
        <w:tabs>
          <w:tab w:leader="none" w:pos="2260" w:val="left"/>
        </w:tabs>
        <w:numPr>
          <w:ilvl w:val="0"/>
          <w:numId w:val="69"/>
        </w:numPr>
        <w:rPr>
          <w:rFonts w:ascii="Arial" w:cs="Arial" w:eastAsia="Arial" w:hAnsi="Arial"/>
          <w:sz w:val="11"/>
          <w:szCs w:val="11"/>
          <w:color w:val="auto"/>
        </w:rPr>
      </w:pPr>
      <w:r>
        <w:rPr>
          <w:rFonts w:ascii="Arial" w:cs="Arial" w:eastAsia="Arial" w:hAnsi="Arial"/>
          <w:sz w:val="14"/>
          <w:szCs w:val="14"/>
          <w:color w:val="auto"/>
        </w:rPr>
        <w:t>All options in this table are exercisable immediately upon the date of grant, subject to a repurchase right in our favor that lapses in accordance with the options' respective vesting schedules.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120" w:hanging="540"/>
        <w:spacing w:after="0" w:line="318" w:lineRule="auto"/>
        <w:tabs>
          <w:tab w:leader="none" w:pos="2260" w:val="left"/>
        </w:tabs>
        <w:numPr>
          <w:ilvl w:val="1"/>
          <w:numId w:val="70"/>
        </w:numPr>
        <w:rPr>
          <w:rFonts w:ascii="Arial" w:cs="Arial" w:eastAsia="Arial" w:hAnsi="Arial"/>
          <w:sz w:val="10"/>
          <w:szCs w:val="10"/>
          <w:color w:val="auto"/>
        </w:rPr>
      </w:pPr>
      <w:r>
        <w:rPr>
          <w:rFonts w:ascii="Arial" w:cs="Arial" w:eastAsia="Arial" w:hAnsi="Arial"/>
          <w:sz w:val="12"/>
          <w:szCs w:val="12"/>
          <w:color w:val="auto"/>
        </w:rPr>
        <w:t>25% of the shares of Class A common stock underlying this option vest on December 7, 2017, with the remainder vesting in 36 equal monthly installments thereafter, subject to the director's continuous service through each such vesting date. This option was granted under the 2016 Plan (as defined herein).</w:t>
      </w:r>
    </w:p>
    <w:p>
      <w:pPr>
        <w:spacing w:after="0" w:line="66" w:lineRule="exact"/>
        <w:rPr>
          <w:rFonts w:ascii="Arial" w:cs="Arial" w:eastAsia="Arial" w:hAnsi="Arial"/>
          <w:sz w:val="10"/>
          <w:szCs w:val="10"/>
          <w:color w:val="auto"/>
        </w:rPr>
      </w:pPr>
    </w:p>
    <w:p>
      <w:pPr>
        <w:ind w:left="2260" w:hanging="540"/>
        <w:spacing w:after="0" w:line="318" w:lineRule="auto"/>
        <w:tabs>
          <w:tab w:leader="none" w:pos="2260" w:val="left"/>
        </w:tabs>
        <w:numPr>
          <w:ilvl w:val="1"/>
          <w:numId w:val="70"/>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vested on December 3, 2016, with the remainder vesting in 36 equal monthly installments thereafter, subject to the director's continuous service through each such vesting date. This option was granted under the 2008 Plan (as defined herein).</w:t>
      </w:r>
    </w:p>
    <w:p>
      <w:pPr>
        <w:spacing w:after="0" w:line="66" w:lineRule="exact"/>
        <w:rPr>
          <w:rFonts w:ascii="Arial" w:cs="Arial" w:eastAsia="Arial" w:hAnsi="Arial"/>
          <w:sz w:val="10"/>
          <w:szCs w:val="10"/>
          <w:color w:val="auto"/>
        </w:rPr>
      </w:pPr>
    </w:p>
    <w:p>
      <w:pPr>
        <w:ind w:left="2260" w:right="240" w:hanging="540"/>
        <w:spacing w:after="0" w:line="318" w:lineRule="auto"/>
        <w:tabs>
          <w:tab w:leader="none" w:pos="2260" w:val="left"/>
        </w:tabs>
        <w:numPr>
          <w:ilvl w:val="1"/>
          <w:numId w:val="70"/>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 on October 5, 2017, with the remainder vesting in 36 equal monthly installments thereafter, subject to the director's continuous service through each such vesting date. This option was granted under the 2008 Plan.</w:t>
      </w:r>
    </w:p>
    <w:p>
      <w:pPr>
        <w:spacing w:after="0" w:line="134" w:lineRule="exact"/>
        <w:rPr>
          <w:rFonts w:ascii="Arial" w:cs="Arial" w:eastAsia="Arial" w:hAnsi="Arial"/>
          <w:sz w:val="10"/>
          <w:szCs w:val="10"/>
          <w:color w:val="auto"/>
        </w:rPr>
      </w:pPr>
    </w:p>
    <w:p>
      <w:pPr>
        <w:ind w:left="1680" w:right="2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This amount reflects the incremental fair value attributable to the modification of an option previously granted to this director. The exercise price of this previously granted option was reduced in April 2016 from $8.68 to $3.25.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adopt a non-employee director compensation policy in connection with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Ended January 31, 2017</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January 31, 2017 by our principal executive officer and the next two most highly compensated executive officers for the fiscal year ended January 31, 2017, whom we refer to as our named executive officers for the fiscal year ended January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Salary ($)</w:t>
            </w:r>
          </w:p>
        </w:tc>
        <w:tc>
          <w:tcPr>
            <w:tcW w:w="1000" w:type="dxa"/>
            <w:vAlign w:val="bottom"/>
            <w:gridSpan w:val="2"/>
          </w:tcPr>
          <w:p>
            <w:pPr>
              <w:jc w:val="center"/>
              <w:ind w:left="65"/>
              <w:spacing w:after="0" w:line="193"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(1)</w:t>
            </w:r>
          </w:p>
        </w:tc>
        <w:tc>
          <w:tcPr>
            <w:tcW w:w="220" w:type="dxa"/>
            <w:vAlign w:val="bottom"/>
          </w:tcPr>
          <w:p>
            <w:pPr>
              <w:spacing w:after="0"/>
              <w:rPr>
                <w:sz w:val="16"/>
                <w:szCs w:val="16"/>
                <w:color w:val="auto"/>
              </w:rPr>
            </w:pPr>
          </w:p>
        </w:tc>
        <w:tc>
          <w:tcPr>
            <w:tcW w:w="13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Compensation ($)</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28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5,280,870</w:t>
            </w:r>
            <w:r>
              <w:rPr>
                <w:rFonts w:ascii="Arial" w:cs="Arial" w:eastAsia="Arial" w:hAnsi="Arial"/>
                <w:sz w:val="14"/>
                <w:szCs w:val="14"/>
                <w:color w:val="auto"/>
              </w:rPr>
              <w:t>(3)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60" w:type="dxa"/>
            <w:vAlign w:val="bottom"/>
            <w:gridSpan w:val="4"/>
          </w:tcPr>
          <w:p>
            <w:pPr>
              <w:spacing w:after="0"/>
              <w:rPr>
                <w:sz w:val="20"/>
                <w:szCs w:val="20"/>
                <w:color w:val="auto"/>
              </w:rPr>
            </w:pPr>
            <w:r>
              <w:rPr>
                <w:rFonts w:ascii="Arial" w:cs="Arial" w:eastAsia="Arial" w:hAnsi="Arial"/>
                <w:sz w:val="18"/>
                <w:szCs w:val="18"/>
                <w:color w:val="auto"/>
              </w:rPr>
              <w:t>Carlos Delatorre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1,242,937</w:t>
            </w:r>
            <w:r>
              <w:rPr>
                <w:rFonts w:ascii="Arial" w:cs="Arial" w:eastAsia="Arial" w:hAnsi="Arial"/>
                <w:sz w:val="14"/>
                <w:szCs w:val="14"/>
                <w:color w:val="auto"/>
              </w:rPr>
              <w:t>(4)</w:t>
            </w:r>
          </w:p>
        </w:tc>
        <w:tc>
          <w:tcPr>
            <w:tcW w:w="1380" w:type="dxa"/>
            <w:vAlign w:val="bottom"/>
          </w:tcPr>
          <w:p>
            <w:pPr>
              <w:jc w:val="right"/>
              <w:spacing w:after="0"/>
              <w:rPr>
                <w:sz w:val="20"/>
                <w:szCs w:val="20"/>
                <w:color w:val="auto"/>
              </w:rPr>
            </w:pPr>
            <w:r>
              <w:rPr>
                <w:rFonts w:ascii="Arial" w:cs="Arial" w:eastAsia="Arial" w:hAnsi="Arial"/>
                <w:sz w:val="18"/>
                <w:szCs w:val="18"/>
                <w:color w:val="auto"/>
              </w:rPr>
              <w:t>289,150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1,782,087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Revenue Officer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1,358,478</w:t>
            </w:r>
            <w:r>
              <w:rPr>
                <w:rFonts w:ascii="Arial" w:cs="Arial" w:eastAsia="Arial" w:hAnsi="Arial"/>
                <w:sz w:val="14"/>
                <w:szCs w:val="14"/>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1,773,678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72"/>
        </w:numPr>
        <w:rPr>
          <w:rFonts w:ascii="Arial" w:cs="Arial" w:eastAsia="Arial" w:hAnsi="Arial"/>
          <w:sz w:val="11"/>
          <w:szCs w:val="11"/>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consolidated financial statements included in this prospectus.</w:t>
      </w:r>
    </w:p>
    <w:p>
      <w:pPr>
        <w:spacing w:after="0" w:line="113" w:lineRule="exact"/>
        <w:rPr>
          <w:rFonts w:ascii="Arial" w:cs="Arial" w:eastAsia="Arial" w:hAnsi="Arial"/>
          <w:sz w:val="11"/>
          <w:szCs w:val="11"/>
          <w:color w:val="auto"/>
        </w:rPr>
      </w:pPr>
    </w:p>
    <w:p>
      <w:pPr>
        <w:ind w:left="1680" w:hanging="531"/>
        <w:spacing w:after="0"/>
        <w:tabs>
          <w:tab w:leader="none" w:pos="1680" w:val="left"/>
        </w:tabs>
        <w:numPr>
          <w:ilvl w:val="0"/>
          <w:numId w:val="72"/>
        </w:numPr>
        <w:rPr>
          <w:rFonts w:ascii="Arial" w:cs="Arial" w:eastAsia="Arial" w:hAnsi="Arial"/>
          <w:sz w:val="11"/>
          <w:szCs w:val="11"/>
          <w:color w:val="auto"/>
        </w:rPr>
      </w:pPr>
      <w:r>
        <w:rPr>
          <w:rFonts w:ascii="Arial" w:cs="Arial" w:eastAsia="Arial" w:hAnsi="Arial"/>
          <w:sz w:val="14"/>
          <w:szCs w:val="14"/>
          <w:color w:val="auto"/>
        </w:rPr>
        <w:t>See "—Bonus and Variable Compensation Plans" for a description of the material terms of the plans pursuant to which this compensation was awarded.</w:t>
      </w:r>
    </w:p>
    <w:p>
      <w:pPr>
        <w:spacing w:after="0" w:line="122" w:lineRule="exact"/>
        <w:rPr>
          <w:rFonts w:ascii="Arial" w:cs="Arial" w:eastAsia="Arial" w:hAnsi="Arial"/>
          <w:sz w:val="11"/>
          <w:szCs w:val="11"/>
          <w:color w:val="auto"/>
        </w:rPr>
      </w:pPr>
    </w:p>
    <w:p>
      <w:pPr>
        <w:ind w:left="1680" w:right="400" w:hanging="531"/>
        <w:spacing w:after="0" w:line="239" w:lineRule="auto"/>
        <w:tabs>
          <w:tab w:leader="none" w:pos="1680" w:val="left"/>
        </w:tabs>
        <w:numPr>
          <w:ilvl w:val="0"/>
          <w:numId w:val="72"/>
        </w:numPr>
        <w:rPr>
          <w:rFonts w:ascii="Arial" w:cs="Arial" w:eastAsia="Arial" w:hAnsi="Arial"/>
          <w:sz w:val="11"/>
          <w:szCs w:val="11"/>
          <w:color w:val="auto"/>
        </w:rPr>
      </w:pPr>
      <w:r>
        <w:rPr>
          <w:rFonts w:ascii="Arial" w:cs="Arial" w:eastAsia="Arial" w:hAnsi="Arial"/>
          <w:sz w:val="14"/>
          <w:szCs w:val="14"/>
          <w:color w:val="auto"/>
        </w:rPr>
        <w:t>This amount includes $3,100,920 of incremental fair value attributable to the modification of options previously granted to this executive officer. The exercise price of these previously granted options was reduced in April 2016 from $7.83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72"/>
        </w:numPr>
        <w:rPr>
          <w:rFonts w:ascii="Arial" w:cs="Arial" w:eastAsia="Arial" w:hAnsi="Arial"/>
          <w:sz w:val="11"/>
          <w:szCs w:val="11"/>
          <w:color w:val="auto"/>
        </w:rPr>
      </w:pPr>
      <w:r>
        <w:rPr>
          <w:rFonts w:ascii="Arial" w:cs="Arial" w:eastAsia="Arial" w:hAnsi="Arial"/>
          <w:sz w:val="14"/>
          <w:szCs w:val="14"/>
          <w:color w:val="auto"/>
        </w:rPr>
        <w:t>This amount includes $661,617 of incremental fair value attributable to the modification of options previously granted to this executive officer. The exercise price of these previously granted options was reduced in April 2016 from $8.12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72"/>
        </w:numPr>
        <w:rPr>
          <w:rFonts w:ascii="Arial" w:cs="Arial" w:eastAsia="Arial" w:hAnsi="Arial"/>
          <w:sz w:val="11"/>
          <w:szCs w:val="11"/>
          <w:color w:val="auto"/>
        </w:rPr>
      </w:pPr>
      <w:r>
        <w:rPr>
          <w:rFonts w:ascii="Arial" w:cs="Arial" w:eastAsia="Arial" w:hAnsi="Arial"/>
          <w:sz w:val="14"/>
          <w:szCs w:val="14"/>
          <w:color w:val="auto"/>
        </w:rPr>
        <w:t>This amount includes $766,478 of incremental fair value attributable to the modification of options previously granted to this executive officer. The exercise price of these previously granted options was reduced in April 2016 from $8.49 to $3.25.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January 31, 2017</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January 31,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4"/>
          </w:tcPr>
          <w:p>
            <w:pPr>
              <w:jc w:val="center"/>
              <w:ind w:right="720"/>
              <w:spacing w:after="0" w:line="156"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70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8"/>
                <w:szCs w:val="8"/>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ind w:left="20"/>
              <w:spacing w:after="0" w:line="209"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2"/>
                <w:szCs w:val="22"/>
                <w:b w:val="1"/>
                <w:bCs w:val="1"/>
                <w:color w:val="auto"/>
                <w:vertAlign w:val="superscript"/>
              </w:rPr>
              <w:t>(2)</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restart"/>
          </w:tcPr>
          <w:p>
            <w:pPr>
              <w:jc w:val="right"/>
              <w:ind w:right="760"/>
              <w:spacing w:after="0" w:line="209" w:lineRule="exact"/>
              <w:rPr>
                <w:sz w:val="20"/>
                <w:szCs w:val="20"/>
                <w:color w:val="auto"/>
              </w:rPr>
            </w:pPr>
            <w:r>
              <w:rPr>
                <w:rFonts w:ascii="Arial" w:cs="Arial" w:eastAsia="Arial" w:hAnsi="Arial"/>
                <w:sz w:val="14"/>
                <w:szCs w:val="14"/>
                <w:b w:val="1"/>
                <w:bCs w:val="1"/>
                <w:color w:val="auto"/>
                <w:w w:val="84"/>
              </w:rPr>
              <w:t>Unvested</w:t>
            </w:r>
            <w:r>
              <w:rPr>
                <w:rFonts w:ascii="Arial" w:cs="Arial" w:eastAsia="Arial" w:hAnsi="Arial"/>
                <w:sz w:val="22"/>
                <w:szCs w:val="22"/>
                <w:b w:val="1"/>
                <w:bCs w:val="1"/>
                <w:color w:val="auto"/>
                <w:w w:val="84"/>
                <w:vertAlign w:val="superscript"/>
              </w:rPr>
              <w:t>(3)(4)</w:t>
            </w: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Price ($)</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1,865,362</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1,575,000</w:t>
            </w:r>
            <w:r>
              <w:rPr>
                <w:rFonts w:ascii="Arial" w:cs="Arial" w:eastAsia="Arial" w:hAnsi="Arial"/>
                <w:sz w:val="14"/>
                <w:szCs w:val="14"/>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1,500,000</w:t>
            </w:r>
            <w:r>
              <w:rPr>
                <w:rFonts w:ascii="Arial" w:cs="Arial" w:eastAsia="Arial" w:hAnsi="Arial"/>
                <w:sz w:val="14"/>
                <w:szCs w:val="14"/>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Carlos Delatorre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12/4/2014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428,011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393,771</w:t>
            </w: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12/04/2024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7/15/2015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244,144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573,574</w:t>
            </w:r>
            <w:r>
              <w:rPr>
                <w:rFonts w:ascii="Arial" w:cs="Arial" w:eastAsia="Arial" w:hAnsi="Arial"/>
                <w:sz w:val="14"/>
                <w:szCs w:val="14"/>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07/15/2025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3"/>
        </w:numPr>
        <w:rPr>
          <w:rFonts w:ascii="Arial" w:cs="Arial" w:eastAsia="Arial" w:hAnsi="Arial"/>
          <w:sz w:val="10"/>
          <w:szCs w:val="10"/>
          <w:color w:val="auto"/>
        </w:rPr>
      </w:pPr>
      <w:r>
        <w:rPr>
          <w:rFonts w:ascii="Arial" w:cs="Arial" w:eastAsia="Arial" w:hAnsi="Arial"/>
          <w:sz w:val="12"/>
          <w:szCs w:val="12"/>
          <w:color w:val="auto"/>
        </w:rPr>
        <w:t>All option awards listed in this table were granted pursuant to our 2008 Stock Plan, the terms of which are described below under "—Equity Incentive Plans—2008 Stock Plan."</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73"/>
        </w:numPr>
        <w:rPr>
          <w:rFonts w:ascii="Arial" w:cs="Arial" w:eastAsia="Arial" w:hAnsi="Arial"/>
          <w:sz w:val="10"/>
          <w:szCs w:val="10"/>
          <w:color w:val="auto"/>
        </w:rPr>
      </w:pPr>
      <w:r>
        <w:rPr>
          <w:rFonts w:ascii="Arial" w:cs="Arial" w:eastAsia="Arial" w:hAnsi="Arial"/>
          <w:sz w:val="12"/>
          <w:szCs w:val="12"/>
          <w:color w:val="auto"/>
        </w:rPr>
        <w:t>On April 13, 2016, we amended the exercise prices of all of our outstanding option awards previously granted at an exercise price greater than $3.25 to $3.25.</w:t>
      </w:r>
    </w:p>
    <w:p>
      <w:pPr>
        <w:spacing w:after="0" w:line="145" w:lineRule="exact"/>
        <w:rPr>
          <w:rFonts w:ascii="Arial" w:cs="Arial" w:eastAsia="Arial" w:hAnsi="Arial"/>
          <w:sz w:val="10"/>
          <w:szCs w:val="10"/>
          <w:color w:val="auto"/>
        </w:rPr>
      </w:pPr>
    </w:p>
    <w:p>
      <w:pPr>
        <w:ind w:left="1680" w:right="80" w:hanging="531"/>
        <w:spacing w:after="0" w:line="239"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All of the option awards listed in this column are immediately exercisable, subject to a repurchase right in our favor which lapses in accordance with the respective option vesting schedules.</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All unvested shares of Class B common stock underlying the option awards listed in this column will accelerate and vest in full upon a change of control of MongoDB if the executive officer is terminated without cause or resigns for good reason (as such terms are described in the executive officer's offer letter) within 12 months following such change of control.</w:t>
      </w:r>
    </w:p>
    <w:p>
      <w:pPr>
        <w:spacing w:after="0" w:line="111"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740,362 shares of Class B common stock underlying this option vested on October 1, 2015, with 75,000 shares of Class B common stock vesting each month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October 1,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The shares of Class B common stock underlying this option will vest in 36 equal monthly installments beginning on May 13, 2018.</w:t>
      </w:r>
    </w:p>
    <w:p>
      <w:pPr>
        <w:spacing w:after="0" w:line="122"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December 4,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July 6, 2016,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4"/>
          <w:szCs w:val="14"/>
          <w:color w:val="auto"/>
        </w:rPr>
        <w:t>33,333 shares of Class B common stock underlying this option vest in equal monthly installments from April 13, 2018 to April 13, 2019, 158,333 shares of Class B common stock underlying this option vest in equal monthly installments from April 13, 2019 to April 13, 2020 and 208,334 shares of Class B common stock underlying this option vest in equal monthly installments from April 13, 2020 to April 13, 2021.</w:t>
      </w:r>
    </w:p>
    <w:p>
      <w:pPr>
        <w:spacing w:after="0" w:line="19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in the future, on an annual basis or otherwise, grant additional equity awards to our executive officers pursuant to our 2016 Equity Incentive Plan, as amended, or the 2016 Plan, the terms of which are described below under "—Equity Incentive Plans—2016 Equity Incentive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Offer Letters and Arrangements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initial terms and conditions of employment for each of our named executive officers are set forth in written offer letters, the terms of which are described below. We intend to enter into revised employment offer letters with our named executive officers setting forth the terms and conditions of such executive's employment with us that replace and supersede the current offer letters but which incorporate the terms described below. Each of our named executive officers has also executed our standard form of invention assignment, confidentiality and arbitration agreement. Any potential payments and benefits due upon a termination of employment or a change of control of us are further described below under the heading "—Potential Payments and Benefits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 Ittycheria</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entered into an initial offer letter with Dev Ittycheria, our President and Chief Executive Officer, dated July 29, 2014, which sets forth the initial terms and conditions of his employment with us. Mr. Ittycheria's current base salary is $400,000 per year. Mr. Ittycheria is also eligible to receive an annual target bonus of up to $200,000 pursuant to our bonus plan. Mr. Ittycheria's employment is at will and may be terminated at any time, with or without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Carlos Delatorre</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entered into an initial offer letter with Carlos Delatorre, our Chief Revenue Officer dated November 26, 2014, which sets forth the initial terms and conditions of his employment with us. Mr. Delatorre's current base salary is $250,000 per year. Mr. Delatorre is also eligible to receive annual target sales compensation of up to $350,000 pursuant to our variable compensation plan. Mr. Delatorre's employment is at will and may be terminated at any time, with or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Gordon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entered into an initial offer letter with Michael Gordon, our Chief Financial Officer, dated May 26, 2015, which sets forth the initial terms and conditions of his employment with us. In Mr. Gordon's current base salary is $325,000 per year. Mr. Gordon is also eligible to receive an annual target bonus of up to $150,000 pursuant to our bonus plan. Mr. Gordon's employment is at will and may be terminated at any time, with or without cause.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offer letter agreement with Mr. Ittycheria provides that if we terminate Mr. Ittycheria for any reason other than for cause, or if Mr. Ittycheria resigns his position with us for good reason (as such terms are defined in his offer letter), Mr. Ittycheria would be entitled to receive the following severance benefits:</w:t>
      </w:r>
    </w:p>
    <w:p>
      <w:pPr>
        <w:spacing w:after="0" w:line="153" w:lineRule="exact"/>
        <w:rPr>
          <w:sz w:val="20"/>
          <w:szCs w:val="20"/>
          <w:color w:val="auto"/>
        </w:rPr>
      </w:pPr>
    </w:p>
    <w:p>
      <w:pPr>
        <w:ind w:left="1080" w:right="1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Mr. Ittycheria's then-current base salary and target bonus for a period of 12 months following his termination date in accordance with our regular payroll practices;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Company-paid health coverage for a period of 12 months following his termination date.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if such termination or resignation occurs within 12 months after a change in control, Mr. Ittycheria would also be entitled, pursuant to the terms of his option agreements, to receive 100% acceleration of all then-unvested stock options by Mr. Ittycheria.</w:t>
      </w:r>
    </w:p>
    <w:p>
      <w:pPr>
        <w:spacing w:after="0" w:line="186"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offer letter agreement with each of Mr. Delatorre and Mr. Gordon provides that if we terminate such executive officer for any reason other than for cause, death or disability, or such executive officer resigns his position with us for good reason (as such terms are defined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executive officer's offer letter), such executive officer would be entitled to receive a severance benefit equal to six months of such officer's then-current base salary. In the event such termination or resignation occurs within 12 months after a change in control, then the executive officer would also be entitled to receive 100% acceleration of vesting of all then-unvested stock options held by such executive officer.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any of the above-described severance benefits is conditioned on the executive officer's delivery and non-revocation of a general release of claims in our favor within 30 days after such executive officer's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Variable Compensation Plans</w:t>
      </w:r>
    </w:p>
    <w:p>
      <w:pPr>
        <w:spacing w:after="0" w:line="231" w:lineRule="exact"/>
        <w:rPr>
          <w:sz w:val="20"/>
          <w:szCs w:val="20"/>
          <w:color w:val="auto"/>
        </w:rPr>
      </w:pPr>
    </w:p>
    <w:p>
      <w:pPr>
        <w:ind w:right="440" w:firstLine="351"/>
        <w:spacing w:after="0" w:line="291" w:lineRule="auto"/>
        <w:rPr>
          <w:sz w:val="20"/>
          <w:szCs w:val="20"/>
          <w:color w:val="auto"/>
        </w:rPr>
      </w:pPr>
      <w:r>
        <w:rPr>
          <w:rFonts w:ascii="Arial" w:cs="Arial" w:eastAsia="Arial" w:hAnsi="Arial"/>
          <w:sz w:val="16"/>
          <w:szCs w:val="16"/>
          <w:color w:val="auto"/>
        </w:rPr>
        <w:t>In fiscal year 2017, certain of our executive officers were eligible to participate in our executive bonus plan. Our executive bonus plan is designed to motivate and reward executives for the attainment of company performance goals set by our compensation committee at the beginning of each fiscal year. Bonuses for fiscal year 2017 for Messrs. Ittycheria and Gordon were measured as of July 31, 2016 and January 31, 2017 and were paid in August 2016 with respect to attainment of company performance goals during the first half of fiscal year 2017 and in March 2017 with respect to attainment of company performance goals during the second half of fiscal year 2017. For fiscal year 2017, Messrs. Ittycheria and Gordon received aggregate bonus payments of $230,400 and $115,200, respectively, pursuant to the terms of our executive bonus plan.</w:t>
      </w:r>
    </w:p>
    <w:p>
      <w:pPr>
        <w:spacing w:after="0" w:line="17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of our executive officers will also be eligible to participate in this plan in fiscal year 2018. Pursuant to the fiscal year 2018 executive bonus plan, Mr. Ittycheria is eligible to receive a target bonus of $200,000 and Mr. Gordon is eligible to receive a target bonus of $150,000.</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fiscal year 2017, Mr. Delatorre was eligible to participate in our sales variable compensation plan. Our sales variable compensation plan is designed to compensate executives for the attainment of sales targets set by our compensation committee at the beginning of each fiscal year. The variable compensation for fiscal year 2017 for Mr. Delatorre was measured and paid on a monthly basis based on attainment of the sales targets over the fiscal year. Mr. Delatorre received an aggregate variable compensation payment of $289,150 for fiscal year 2017 pursuant to the terms of our sales variable compensation plan. Pursuant to the fiscal year 2018 sales variable compensation plan, Mr. Delatorre is eligible to receive target sales compensation of $350,000.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board of directors adopted our 2016 Plan in December 2016 and our stockholders approved our 2016 Plan in January 2017. We intend to amend and restate our 2016 Plan in connection with this offering, effective upon the execution and delivery of the underwriting agreement related to this offering. All references herein to our 2016 Plan, shall be deemed to refer to our 2016 Plan, as amended and restated, unless context otherwise requires.</w:t>
      </w:r>
    </w:p>
    <w:p>
      <w:pPr>
        <w:spacing w:after="0" w:line="16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Our 2016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67"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Authorized Shares.</w:t>
      </w:r>
      <w:r>
        <w:rPr>
          <w:sz w:val="20"/>
          <w:szCs w:val="20"/>
          <w:color w:val="auto"/>
        </w:rPr>
        <w:tab/>
      </w:r>
      <w:r>
        <w:rPr>
          <w:rFonts w:ascii="Arial" w:cs="Arial" w:eastAsia="Arial" w:hAnsi="Arial"/>
          <w:sz w:val="15"/>
          <w:szCs w:val="15"/>
          <w:color w:val="auto"/>
        </w:rPr>
        <w:t>Initially, the aggregate number of shares of our Class A common stock that may be issued pursuant to stock awards under our 2016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w w:val="91"/>
              </w:rPr>
              <w:t>after the amendment to our 2016 Plan becomes effective is the sum of (1)</w:t>
            </w:r>
          </w:p>
        </w:tc>
        <w:tc>
          <w:tcPr>
            <w:tcW w:w="6040" w:type="dxa"/>
            <w:vAlign w:val="bottom"/>
          </w:tcPr>
          <w:p>
            <w:pPr>
              <w:jc w:val="right"/>
              <w:ind w:right="1752"/>
              <w:spacing w:after="0"/>
              <w:rPr>
                <w:sz w:val="20"/>
                <w:szCs w:val="20"/>
                <w:color w:val="auto"/>
              </w:rPr>
            </w:pPr>
            <w:r>
              <w:rPr>
                <w:rFonts w:ascii="Arial" w:cs="Arial" w:eastAsia="Arial" w:hAnsi="Arial"/>
                <w:sz w:val="18"/>
                <w:szCs w:val="18"/>
                <w:color w:val="auto"/>
                <w:w w:val="94"/>
              </w:rPr>
              <w:t>shares, plus (2) any shares subject to outstanding stock</w:t>
            </w:r>
          </w:p>
        </w:tc>
      </w:tr>
      <w:tr>
        <w:trPr>
          <w:trHeight w:val="426"/>
        </w:trPr>
        <w:tc>
          <w:tcPr>
            <w:tcW w:w="5380" w:type="dxa"/>
            <w:vAlign w:val="bottom"/>
          </w:tcPr>
          <w:p>
            <w:pPr>
              <w:spacing w:after="0"/>
              <w:rPr>
                <w:sz w:val="24"/>
                <w:szCs w:val="24"/>
                <w:color w:val="auto"/>
              </w:rPr>
            </w:pPr>
          </w:p>
        </w:tc>
        <w:tc>
          <w:tcPr>
            <w:tcW w:w="6040" w:type="dxa"/>
            <w:vAlign w:val="bottom"/>
          </w:tcPr>
          <w:p>
            <w:pPr>
              <w:jc w:val="right"/>
              <w:ind w:right="5492"/>
              <w:spacing w:after="0"/>
              <w:rPr>
                <w:sz w:val="20"/>
                <w:szCs w:val="20"/>
                <w:color w:val="auto"/>
              </w:rPr>
            </w:pPr>
            <w:r>
              <w:rPr>
                <w:rFonts w:ascii="Arial" w:cs="Arial" w:eastAsia="Arial" w:hAnsi="Arial"/>
                <w:sz w:val="18"/>
                <w:szCs w:val="18"/>
                <w:color w:val="auto"/>
              </w:rPr>
              <w:t>116</w:t>
            </w:r>
          </w:p>
        </w:tc>
      </w:tr>
      <w:tr>
        <w:trPr>
          <w:trHeight w:val="228"/>
        </w:trPr>
        <w:tc>
          <w:tcPr>
            <w:tcW w:w="538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options or other stock awards that were granted under our 2008 Plan that are forfeited, terminated, expire or are otherwise not issued. Additionally, the number of shares of our Class A common stock reserved for issuance under our 2016 Plan will automatically increase on February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calendar year for ten years, starting on February 1, 2018 (assuming the 2016 Plan, as amended becomes effective in the calendar year ending December 31, 2017) and ending on and including February 1, 2027, in an amount equal to % of the total number of shares of our capital stock outstanding on December 31 of the prior calendar year, or a lesser number of shares determined by our board of directors. As of July 31, 2017, options to purchase 5,836,950 shares of Class A common stock, at exercise prices ranging from $3.79 to $5.59 per share, or a weighted-average exercise price of 4.47 per share, were outstanding under our 2016 Plan.</w:t>
      </w:r>
    </w:p>
    <w:p>
      <w:pPr>
        <w:spacing w:after="0" w:line="19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Shares subject to stock awards granted under our 2016 Plan that expire or terminate without being exercised in full, or that are paid out in cash rather than in shares, do not reduce the number of shares available for issuance under our 2016 Plan. Additionally, shares become available for future grant under our 2016 Plan if they were issued under stock awards under our 2016 Plan if we repurchase them or they are forfeited. This includes shares used to pay the exercise price of a stock award or to satisfy the tax withholding obligations related to a stock award.</w:t>
      </w:r>
    </w:p>
    <w:p>
      <w:pPr>
        <w:spacing w:after="0" w:line="167" w:lineRule="exact"/>
        <w:rPr>
          <w:sz w:val="20"/>
          <w:szCs w:val="20"/>
          <w:color w:val="auto"/>
        </w:rPr>
      </w:pPr>
    </w:p>
    <w:p>
      <w:pPr>
        <w:ind w:right="380" w:firstLine="351"/>
        <w:spacing w:after="0" w:line="30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duly authorized committee of our board of directors, will administer our 2016 Plan.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may also delegate to one or more of our officers the authority to (i) designate employees (other than officers) to receive specified stock awards, and</w:t>
      </w:r>
    </w:p>
    <w:p>
      <w:pPr>
        <w:ind w:right="60" w:firstLine="8"/>
        <w:spacing w:after="0" w:line="261" w:lineRule="auto"/>
        <w:tabs>
          <w:tab w:leader="none" w:pos="2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determine the number of shares subject to such stock awards. Under our 2016 Plan, our board of directors has the authority to determine and amend the terms of awards, including:</w:t>
      </w:r>
    </w:p>
    <w:p>
      <w:pPr>
        <w:spacing w:after="0" w:line="205"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recipients;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2016 Plan, our board of directors also generally has the authority to effect, with the consent of any adversely affected participant:</w:t>
      </w:r>
    </w:p>
    <w:p>
      <w:pPr>
        <w:spacing w:after="0" w:line="26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cancellation of any outstanding stock award and the grant in substitution therefor of other awards, cash or other consideration;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Section 162(m) Limits.</w:t>
      </w:r>
      <w:r>
        <w:rPr>
          <w:sz w:val="20"/>
          <w:szCs w:val="20"/>
          <w:color w:val="auto"/>
        </w:rPr>
        <w:tab/>
      </w:r>
      <w:r>
        <w:rPr>
          <w:rFonts w:ascii="Arial" w:cs="Arial" w:eastAsia="Arial" w:hAnsi="Arial"/>
          <w:sz w:val="15"/>
          <w:szCs w:val="15"/>
          <w:color w:val="auto"/>
        </w:rPr>
        <w:t>At such time as necessary for compliance with Section 162(m) of the Code, no participant may be granted stock awards covering</w:t>
      </w:r>
    </w:p>
    <w:p>
      <w:pPr>
        <w:spacing w:after="0" w:line="15"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more than shares of our Class A common stock under our 2016 Plan during any calendar year pursuant to stock options, stock appreciation rights and other stock awards whose value is determined by reference to an increase over an exercise price or strike price of at least 100% of the fair market value of our Class A common stock on the date of grant. Additionally, under our 2016 Plan, in a calendar year, no participant may be granted a performance stock award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covering more than shares of our Class A common stock or a performance cash award having a maximum value in excess of $ under our 2016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ISOs and NSOs are granted pursuant to stock option agreements adopted by the plan administrator. The plan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for stock options, within the terms and conditions of our 2016 Plan, provided that the exercise price of a stock option generally cannot be less than 100% of the fair market value of our Class A common stock on the date of grant. Options granted under our 2016 Plan vest at the rate specified in the stock option agreement as determined by the plan administrator. The maximum number of shares of our Class A common stock that may be issued upon the exercise of ISOs</w:t>
      </w:r>
    </w:p>
    <w:p>
      <w:pPr>
        <w:spacing w:after="0" w:line="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under our 2016 Plan is</w:t>
      </w:r>
      <w:r>
        <w:rPr>
          <w:sz w:val="20"/>
          <w:szCs w:val="20"/>
          <w:color w:val="auto"/>
        </w:rPr>
        <w:tab/>
      </w:r>
      <w:r>
        <w:rPr>
          <w:rFonts w:ascii="Arial" w:cs="Arial" w:eastAsia="Arial" w:hAnsi="Arial"/>
          <w:sz w:val="14"/>
          <w:szCs w:val="14"/>
          <w:color w:val="auto"/>
        </w:rPr>
        <w:t>shares.</w:t>
      </w:r>
    </w:p>
    <w:p>
      <w:pPr>
        <w:spacing w:after="0" w:line="219"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Class A common stock on the date of grant. A stock appreciation right granted under our 2016 Plan vests at the rate specified in the stock appreciation right agreement as determined by the plan administrator.</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2016 Plan permits the grant of performance-based stock and cash awards that may qualify as performance-based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subject to the $1,000,000 limitation on the income tax deductibility of compensation paid to a covered executive officer imposed by Section 162(m) of the Code. Our compensation committee may structure such awards so that the stock or cash will be issued or paid pursuant to such award only following the achievement of certain pre-established performance goals during a designated performance period.</w:t>
      </w:r>
    </w:p>
    <w:p>
      <w:pPr>
        <w:spacing w:after="0" w:line="167"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The performance goals that may be selected include one or more of the following: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w:t>
      </w:r>
    </w:p>
    <w:p>
      <w:pPr>
        <w:spacing w:after="0" w:line="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return on equity or average stockholder's equity; (10) return on assets, investment, or capital employed; (11) stock price; (12) margin (including gross margin);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income (before or after taxes); (14) operating income; (15) operating income after taxes; (16) pre-tax profit; (17) operating cash flow;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8"/>
        <w:spacing w:after="0" w:line="283" w:lineRule="auto"/>
        <w:tabs>
          <w:tab w:leader="none" w:pos="3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sales or revenue targets; (19) increases in revenues or product revenues; (20) expenses and cost reduction goals; (21) improvement in or attainment of working capital levels; (22) economic value added (or an equivalent metric); (23) market share; (24) cash flow; (25) cash flow per share; (26) share price performance; (27) debt reduction; (28) implementation or completion of projects or processes; (29) stockholders' equity; (30) capital expenditures; (31) debt levels; (32) operating profit or net operating profit; (33) workforce diversity; (34) growth of net income or operating income; (35) billings; (36) bookings;</w:t>
      </w:r>
    </w:p>
    <w:p>
      <w:pPr>
        <w:spacing w:after="0" w:line="2" w:lineRule="exact"/>
        <w:rPr>
          <w:rFonts w:ascii="Arial" w:cs="Arial" w:eastAsia="Arial" w:hAnsi="Arial"/>
          <w:sz w:val="16"/>
          <w:szCs w:val="16"/>
          <w:color w:val="auto"/>
        </w:rPr>
      </w:pPr>
    </w:p>
    <w:p>
      <w:pPr>
        <w:ind w:right="60" w:firstLine="8"/>
        <w:spacing w:after="0" w:line="323" w:lineRule="auto"/>
        <w:tabs>
          <w:tab w:leader="none" w:pos="3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employee retention; (38) strategic partnerships or transactions (including in-licensing and out-licensing of intellectual property; and (39) to the extent that an award is not intended to comply with Section 162(m) of the Code, other measures of performance selected by our board of directors.</w:t>
      </w:r>
    </w:p>
    <w:p>
      <w:pPr>
        <w:spacing w:after="0" w:line="147"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or compensation committee (as applicable) (i) in the award agreement at the time the award is granted or</w:t>
      </w:r>
    </w:p>
    <w:p>
      <w:pPr>
        <w:spacing w:after="0" w:line="1" w:lineRule="exact"/>
        <w:rPr>
          <w:sz w:val="20"/>
          <w:szCs w:val="20"/>
          <w:color w:val="auto"/>
        </w:rPr>
      </w:pPr>
    </w:p>
    <w:p>
      <w:pPr>
        <w:ind w:right="240" w:firstLine="8"/>
        <w:spacing w:after="0" w:line="300" w:lineRule="auto"/>
        <w:tabs>
          <w:tab w:leader="none" w:pos="258"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285" w:lineRule="auto"/>
        <w:rPr>
          <w:rFonts w:ascii="Arial" w:cs="Arial" w:eastAsia="Arial" w:hAnsi="Arial"/>
          <w:sz w:val="15"/>
          <w:szCs w:val="15"/>
          <w:color w:val="auto"/>
        </w:rPr>
      </w:pPr>
      <w:r>
        <w:rPr>
          <w:rFonts w:ascii="Arial" w:cs="Arial" w:eastAsia="Arial" w:hAnsi="Arial"/>
          <w:sz w:val="16"/>
          <w:szCs w:val="16"/>
          <w:color w:val="auto"/>
        </w:rPr>
        <w:t>(3)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us achieved performance objectives at targeted levels during the balance of a performance period following such divestiture; (7)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stock-based compensation and the award of bonuses under our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 In addition, our board of directors or compensation committee (as applicable) retains the discretion to reduce or eliminate the compensation or economic benefit due upon attainment of the performance goals and to define the manner of calculating the performance criteria our board of directors or compensation committee (as applicable)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Our 2016 Plan administrator may grant other awards based in whole or in part by reference to our Class A common stock. Our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set the number of shares under the stock award and all other terms and conditions of such awards.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our 2016 Plan, (2) the class and maximum number of shares by which the share reserve may increase automatically each year, (3) the class and maximum number of shares that may be issued upon the exercise of ISOs, (4) the class and maximum number of shares subject to stock awards that can be granted in a fiscal year (as established under our 2016 Plan pursuant to Section 162(m) of the Code), and (6) the class and number of shares and exercise price, strike price, or purchase price, if applicable, of all outstanding stock awards.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2016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may take one of the following actions with respect to such awards:</w:t>
      </w:r>
    </w:p>
    <w:p>
      <w:pPr>
        <w:spacing w:after="0" w:line="188"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prior to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before the transaction in exchange for a cash payment or no payment, as determined by our board of directors; or</w:t>
      </w:r>
    </w:p>
    <w:p>
      <w:pPr>
        <w:spacing w:after="0" w:line="199"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 payment, in the form determined by our board of directors, equal to the excess, if any, of the value of the property the participant would have received on exercise of the awards before the transaction over any exercise price payable by the participant in connection with the exercise, multiplied by the number of shares subject to the stock award. Any escrow, holdback, earnout or similar provisions in the definitive agreement for the transaction may apply to such payment to the holder of a stock award to the same extent and in the same manner as such provisions apply to holders of our Class A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plan administrator is not obligated to treat all stock awards or portions of stock awards, even those that are of the same type, in the same manner.</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of a change in control, awards granted under our 2016 Plan will not receive automatic acceleration of vesting and/or exercisability, although this treatment may be provided for in an award agreement or in any other written agreement between us and the participant. Under our 2016 Plan, a change in control generally will be deemed to occur in the event: (1) the acquisition by any a person or company of more than 50% of the combined voting power of our then outstanding stock; (2) a merger, consolidation, or similar transaction in which our stockholders immediately before the transaction do not own, directly or indirectly, more than 50% of the combined outstanding voting power of the surviving entity or the parent of the surviving entity; (3) a sale, lease, exclusive license or other disposition of all or substantially all of our assets other than to an entity more than 50% of the combined voting power of which is owned by our stockholders; or (4) an unapproved change in the majority of our board of directors.</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our 2016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2016 Plan.</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Our board of directors has the authority to amend, suspend, or terminate our 2016 Plan, provided that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existing rights of any participant without such participant's written consent. Certain material amendments also require the approval of our stockholders. No ISOs may be granted after the tenth anniversary of the date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adopted our 2016 Plan. No stock awards may be granted under our 2016 Plan while it is suspended or after it is terminated.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board of directors adopted, and our stockholders approved, our 2017 Employee Stock Purchase Plan, or ESPP, in . The ESPP will become effective immediately 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01" w:lineRule="exact"/>
        <w:rPr>
          <w:sz w:val="20"/>
          <w:szCs w:val="20"/>
          <w:color w:val="auto"/>
        </w:rPr>
      </w:pPr>
    </w:p>
    <w:p>
      <w:pPr>
        <w:jc w:val="both"/>
        <w:ind w:right="200" w:firstLine="351"/>
        <w:spacing w:after="0" w:line="30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Following this offering, the ESPP authorizes the issuance of shares of our Class A common stock under purchase rights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or to employees of any of our designated affiliates. The number of shares of our Class A common stock reserved for issuance will automatically increase on February 1st of each calendar year, beginning on February 1, 2018 (assuming the ESPP becomes effective in calendar year ending December 31,</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2017) and ending on and including February 1, 2027, by the lesser of (1) % of the total number of shares of our capital stock outstanding on the last day of the calendar month before the date of the automatic increase, and (2) shares; provided that before the date of any such increase, our board of directors may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determine that such increase will be less than the amount set forth in clauses (1) and (2). As of the date hereof, no shares of our Class A common stock have been purchased under the ESPP.</w:t>
      </w:r>
    </w:p>
    <w:p>
      <w:pPr>
        <w:spacing w:after="0" w:line="19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has delegated its authority to administer the ESPP to our compensation committee. The ESPP is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We currently intend to have six-month offerings with multiple six-month purchase periods per offering, except that the first purchase period under our first offering may be longer than six months, depending on the date on which the underwriting agreement relating to this offering becomes effective. An offering under the ESPP may be terminated under certain circumstances.</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and may contribute, normally through payroll deductions, up to %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 For the initial offering, which we expect will commence on the execution and delivery of the underwriting agreement relating to this offering, the fair market value on the first day of the offering period will be the price at which shares of Class A common stock are first sold to the public.</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ESPP, as determined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(1) being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U.S. $25,000 worth of our Class A common stock based on the fair market value per share of our Class A common stock at the beginning of an offering for</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year such a purchase right is outstanding and the maximum number of shares an employee may purchase during a single purchase period is .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63"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our capital structure through such actions as a stock split,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w:t>
      </w:r>
    </w:p>
    <w:p>
      <w:pPr>
        <w:spacing w:after="0" w:line="1" w:lineRule="exact"/>
        <w:rPr>
          <w:sz w:val="20"/>
          <w:szCs w:val="20"/>
          <w:color w:val="auto"/>
        </w:rPr>
      </w:pPr>
    </w:p>
    <w:p>
      <w:pPr>
        <w:jc w:val="both"/>
        <w:ind w:right="160" w:firstLine="8"/>
        <w:spacing w:after="0" w:line="361" w:lineRule="auto"/>
        <w:tabs>
          <w:tab w:leader="none" w:pos="249"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certain significant corporate transactions, including: (1) a sale of all or substantially all of our assets, (2)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90% of our outstanding securities, (3) the consummation of a merger or consolidation where we do not survive the transaction, and (4)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w:t>
      </w:r>
    </w:p>
    <w:p>
      <w:pPr>
        <w:spacing w:after="0" w:line="172"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stockholder approval of any amendment to our ESPP as required by applicable law or listing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board of directors adopted and our stockholders approved our 2008 Stock Plan, or our 2008 Plan, in March 2008. We subsequently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our 2008 Plan, with the most recent amendment occurring in April 2016, the purpose of which was to increase the number of shares available for issuance under our 2008 Plan. Our stockholders approved this recent amendment in April 2016. Our 2008 Plan was terminated in connection with our adoption of our 2016 Plan; however, awards outstanding under our 2008 Plan continue in full effect in accordance with their existing terms.</w:t>
      </w:r>
    </w:p>
    <w:p>
      <w:pPr>
        <w:spacing w:after="0" w:line="167"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We previously reserved 32,101,077 shares of our Class B common stock for issuance under our 2008 Plan. Upon the effectiveness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no further stock awards could be awarded under our 2008 Plan. As of July 31, 2017, options to purchase 19,028,377 shares of Class B common stock, at exercise prices ranging from $0.1933 to $8.33 per share, or a weighted-average exercise price of $3.21 per share, were outstanding under our 2008 Plan.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2008 Plan since its adoption, however, following this offering, the compensation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will generally administer our 2008 Plan. Our board of directors has full authority and discretion to take any actions it deems necessary or advisable for the administration of our 2008 Plan. Our board of directors may modify, extend or renew outstanding options or may accept the cancellation of outstanding options (whether granted by us or another issuer) in return for the grant of new options for the same or a different number of shares and at the same or a different exercise price.</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Our 2008 Plan provides for both the award or sale of shares of our Class B common stock and for the grant of incentive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to purchase shares of our Class B common stock to employees, non-employee members of our board of directors and consultants.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our 2008 Plan may not be less than 100% of the fair market value of our Class A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Options expire at the time determined by the administrator, but in no event more than ten years after they are granted, and generally expire earlier if the optionee's service terminates.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shares acquired under our 2008 Plan will be subject to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merger or consolidation, which agreement need not treat all options in an identical manner. Such agreement may provide for one or more of the following with respect to outstanding options, in each case without an optionee's consent:</w:t>
      </w:r>
    </w:p>
    <w:p>
      <w:pPr>
        <w:spacing w:after="0" w:line="208"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continuation of the outstanding options by the Company, if the Company is a surviving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assumption of our 2008 Plan and outstanding options by the surviving corporation or its parent;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options with substantially the same terms for outstanding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 exercisability of outstanding options followed by the cancellation of such options;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settlement of the full value of the outstanding options (whether or not then exercisable) in cash or cash equivalents followed by the cancellation of such options.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a subdivision of our outstanding stock, a declaration of a dividend payable in shares, a declaration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dividend payable in a form other than shares in an amount that has a material effect on the fair market value of our Class B common stock, a combination or consolidation of our outstanding Class B common stock into a lesser number of shares, a recapitalization, a spin-off, a reclassification, or a similar occurrence, our board of directors will make appropriate adjustments to one or more of the following: (i) the number of shares available for future awards under our 2008 Plan, (ii) the number of shares covered by each outstanding option, (iii) the exercise price under each outstanding option; and (iv) the price of shares subject to our repurchase.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2008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2008 Plan.</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2008 Plan, provided that such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our stockholders to the extent stockholder approval is necessary and that such action does not impair the existing rights of any participant without such participant's written consent. As described above, our 2008 Plan terminated upon the effective date of our 2016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adopted and our stockholders approved our China 2016 Stock Appreciations Right Plan, or our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April 2016.</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Stock Appreciation Rights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our Stock Appreciation Rights Plan. Our board of directors may also delegate to one or more of our officers the authority to act on behalf of us with respect to any matter, right, obligation, determination or election which is the responsibility of or which is allocated to the Company under our Stock Appreciation Rights Plan. Under our Stock Appreciation Rights Plan, our board of directors has the authority to:</w:t>
      </w:r>
    </w:p>
    <w:p>
      <w:pPr>
        <w:spacing w:after="0" w:line="210"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persons to whom, and the time or times at which, awards will be granted;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approve one or more forms of award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 modify, extend, cancel or renew any award or to waive any restrictions or conditions applicable to any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accelerate, continue, extend or defer the exercisability of any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prescribe, amend or rescind rules, guidelines and policies relating to the plan or to adopt supplements to, or alternative versions of the plan; and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any award agreement and to make all other determinations and take such other actions with respect to the plan as the board of directors may deem advisable.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Our Stock Appreciation Rights Plan provides for the award of rights to participants to receive a payment of cash of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 the fair market value of our common stock determined as of the date on which the award is exercised or deemed exercised over the strike price established by our board of directors and set forth in a participant's award agreement. Unless otherwise specified by our board of directors in the grant of an award, each award under our Stock Appreciation Rights Plan will have a strike price equal to 100% of the fair market value of our common stock on the grant date.</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5"/>
          <w:szCs w:val="15"/>
          <w:color w:val="auto"/>
        </w:rPr>
        <w:t>Employees, non-employee members of our board of directors and consultants are eligible to participate in our Stock Appreciation Rights Plan.</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our board of directors may take the following actions: (1) provide in any award agreement or take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actions to provide for acceleration of the exercisability and vesting of any or all outstanding awards and shares acquired upon the exercise of awards upon such conditions, including termination of a participant's service prior to, upon, or following such change in control; and (2) without the consent of a participant, determine that, upon the occurrence of a change in control, each or any award outstanding immediately prior the change in control shall be canceled in exchange for a payment with respect to each vested award (and each unvested award, if so determined by the board of directors) of our common stock subject to such canceled award in cash in an amount equal to the excess of the fair market value of the consideration to be paid per share of our common stock in the change in control over the strike price per share under such award (the spread). In addition, in the event of a change in control, the surviving, continuing, successor, or purchasing corporation, as applicable, may, without the consent of any participant, either assume or continue our rights and obligations under each or any award or portion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thereof outstanding immediately prior to the change in control or substitute for each or any outstanding award or portion thereof a substantially equivalent award based upon our acquiror's stock.</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our Stock Appreciation Rights Plan, a change in control generally will be deemed to occur in the event of: (1) a direct or indirect sale or exchange by our stockholders of more than 50% of our voting stock; (2) a merger or consolidation in which we are a party and following which our stockholders immediately before the transaction do not retain, directly or indirectly, more than 50% of the total combined outstanding voting power of our capital stock; (3) the sale, exchange or transfer of more than 50% by value of our assets; or (4) our liquidation or dissolution.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our common stock, such as a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dividend, stock split, reverse stock split, stock dividend, or other like change in our capital structure or distribution (other than normal cash dividends) to our shareholders, appropriate adjustments will be made in each of (1) the number of rights covered by each outstanding award, (2) the class of shares to which a right relates; and (3) the strike price of each award in order to prevent dilution or enlargement of a participant's rights under our Stock Appreciation Rights Plan.</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awards under our Stock Appreciation Rights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our Stock Appreciation Rights Plan.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Stock Appreciation Rights Plan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there will be no amendment of our Stock Appreciation Rights Plan that would require approval of our stockholders under any applicable law, regulation or rule including the rules of any stock exchange or market system upon which our common stock may then be listed without such required approval. In addition, except as otherwise provided in our Stock Appreciation Rights Plan, no amendment, suspension or termination of our Stock Appreciation Rights Plan may adversely affect any then outstanding right without the consent of the participant. No rights may be granted after the tenth anniversary of the date our board of directors adopted our Stock Appreciation Rights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maintain a defined contribution retirement plan that provides eligible U.S. employees with an opportunity to save for retirement on a tax advantaged basis. Eligible employees may defer eligible compensation on a pre-tax basis, up to the statutorily prescribed annual limits on contributions under the Code. We have the ability to make discretionary contributions to the 401(k) plan. Employee contributions are allocated to each participant's individual account and are then invested in selected investment alternatives according to the participant's directions. Employees are immediately and fully vested in their contributions. The vesting of contributions we make is tied to years of service with our contributions being fully vested after four years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1"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be personally liable for monetary damages for any breach of fiduciary duties as directors, except liability for:</w:t>
      </w:r>
    </w:p>
    <w:p>
      <w:pPr>
        <w:spacing w:after="0" w:line="23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will provide that we are authorized to indemnify our directors and officers to the fullest extent permitted by Delaware law. Our amended and restated bylaws to be in effect upon the closing of this offering will provide that we are required to indemnify our directors and executive officers to the fullest extent permitted by Delaware law. Our amended and restated bylaws will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to be in effect upon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(including Class A common stock issuable upon conversion of Class B common stock held by them)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following is a summary of transactions since February 1, 2014 to which we have been a participant in which the amount involved exceeded or will exceed $120,000, and in which any of our then directors, executive officers or holders of more than 5% of any class of our capital stock at the time of such transaction, or any members of their immediate family,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Convertible Preferred Stock Financing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2014, we sold 4,783,506 shares of our Series F redeemable convertible preferred stock to nine accredited investors at a price of $16.724127 per share, for aggregate proceeds of approximately $80.0 million. The following table summarizes the purchases of shares of our Series F redeemable convertible preferred stock by our directors, executive officers and holders of more than 5% of any class of our capital stock:</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Series F</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Related Party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7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New Enterprise Associates 14, Limited Partnership</w:t>
            </w:r>
            <w:r>
              <w:rPr>
                <w:rFonts w:ascii="Arial" w:cs="Arial" w:eastAsia="Arial" w:hAnsi="Arial"/>
                <w:sz w:val="28"/>
                <w:szCs w:val="28"/>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120" w:hanging="540"/>
        <w:spacing w:after="0" w:line="239" w:lineRule="auto"/>
        <w:tabs>
          <w:tab w:leader="none" w:pos="2260" w:val="left"/>
        </w:tabs>
        <w:numPr>
          <w:ilvl w:val="0"/>
          <w:numId w:val="87"/>
        </w:numPr>
        <w:rPr>
          <w:rFonts w:ascii="Arial" w:cs="Arial" w:eastAsia="Arial" w:hAnsi="Arial"/>
          <w:sz w:val="11"/>
          <w:szCs w:val="11"/>
          <w:color w:val="auto"/>
        </w:rPr>
      </w:pPr>
      <w:r>
        <w:rPr>
          <w:rFonts w:ascii="Arial" w:cs="Arial" w:eastAsia="Arial" w:hAnsi="Arial"/>
          <w:sz w:val="14"/>
          <w:szCs w:val="14"/>
          <w:color w:val="auto"/>
        </w:rPr>
        <w:t>For additional information regarding the beneficial ownership of these shares, see footnote (5) to the beneficial ownership table set forth in the section titled "Principal and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Voting and Right of First Refusal and Co-Sale Agreements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our redeemable convertible preferred stock financings, we entered into investors' rights, voting and right of first refusal and co-sale agreements containing registration rights, information rights, voting rights and rights of first refusal, among other things, with certain holders of our redeemable convertible preferred stock and certain holders of our Class B common stock. The parties to each of these agreements include Kevin P. Ryan, a member of our board of directors, Eliot Horowitz, our Chief Technology Officer and a member of our board of directors, and the following holders of more than 5% of our capital stock: Dwight Merriman, Future Fund Investment Company No. 4 Pty Ltd., Union Square Ventures 2008, L.P. and entities affiliated with Sequoia Capital, Flybridge Capital and New Enterprise Associates. In addition, Dev Ittycheria, our President and Chief Executive Officer and a member of our board of directors, is a party to the voting agreement. Upon the closing of this offering, the voting agreement and right of first refusal and co-sale agreement will terminate. Our stockholders will continue to have the registration rights granted under the investors' rights agreement, as more fully described in "Description of Capital Stock— Registration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entered into employment agreements with certain of our executive officers. For more information regarding these agreements with our named executive officers, see "Executive Compensation—Employment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Directors and Executive Officers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granted stock options to certain of our directors and executive officers. For more information regarding the stock options and stock awards granted to our directors and named executive officers see "Management—Director Compensation" and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in connection with this offering. The indemnification agreements and our amended and restated bylaws,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each to be in effect upon the closing of this offering, require us to indemnify our directors and executive officers to the fullest extent permitted by Delaware law. For more information regarding these agreements, see "Executive Compensation—Limitations on Liability and Indemnification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Prior to the closing of this offering, we expect to adopt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2"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of directors, will take into account the relevant available facts and circumstances including, but not limited to:</w:t>
      </w:r>
    </w:p>
    <w:p>
      <w:pPr>
        <w:spacing w:after="0" w:line="19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61"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all were approved by our board of directors considering similar factors to those described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the beneficial ownership of our common stock as of July 31, 2017 and as adjusted to reflect the sale of Class A common stock offered by us and the selling stockholders in this offering, for:</w:t>
      </w:r>
    </w:p>
    <w:p>
      <w:pPr>
        <w:spacing w:after="0" w:line="199" w:lineRule="exact"/>
        <w:rPr>
          <w:sz w:val="20"/>
          <w:szCs w:val="20"/>
          <w:color w:val="auto"/>
        </w:rPr>
      </w:pPr>
    </w:p>
    <w:p>
      <w:pPr>
        <w:ind w:left="1080" w:right="4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The percentage ownership information shown in the table prior to this offering is based upon 136,400 shares of Class A common stock and 81,800,522 shares of Class B common stock outstanding as of July 31, 2017, after giving effect to the conversion of all outstanding shares of redeemable convertible preferred stock into an aggregate of 53,905,795 shares of our Class B common stock. The percentage ownership information shown in the table after this offering</w:t>
      </w:r>
    </w:p>
    <w:p>
      <w:pPr>
        <w:spacing w:after="0" w:line="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is based upon</w:t>
      </w:r>
      <w:r>
        <w:rPr>
          <w:sz w:val="20"/>
          <w:szCs w:val="20"/>
          <w:color w:val="auto"/>
        </w:rPr>
        <w:tab/>
      </w:r>
      <w:r>
        <w:rPr>
          <w:rFonts w:ascii="Arial" w:cs="Arial" w:eastAsia="Arial" w:hAnsi="Arial"/>
          <w:sz w:val="15"/>
          <w:szCs w:val="15"/>
          <w:color w:val="auto"/>
        </w:rPr>
        <w:t>shares of Class A common stock and 81,800,522 shares of Class B common stock outstanding as of July 31, 2017, assuming the sale</w:t>
      </w:r>
    </w:p>
    <w:p>
      <w:pPr>
        <w:spacing w:after="0" w:line="9" w:lineRule="exact"/>
        <w:rPr>
          <w:sz w:val="20"/>
          <w:szCs w:val="20"/>
          <w:color w:val="auto"/>
        </w:rPr>
      </w:pPr>
    </w:p>
    <w:p>
      <w:pPr>
        <w:spacing w:after="0"/>
        <w:tabs>
          <w:tab w:leader="none" w:pos="660" w:val="left"/>
          <w:tab w:leader="none" w:pos="42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by us and</w:t>
      </w:r>
      <w:r>
        <w:rPr>
          <w:sz w:val="20"/>
          <w:szCs w:val="20"/>
          <w:color w:val="auto"/>
        </w:rPr>
        <w:tab/>
      </w:r>
      <w:r>
        <w:rPr>
          <w:rFonts w:ascii="Arial" w:cs="Arial" w:eastAsia="Arial" w:hAnsi="Arial"/>
          <w:sz w:val="15"/>
          <w:szCs w:val="15"/>
          <w:color w:val="auto"/>
        </w:rPr>
        <w:t>shares of Class A common stock by the selling stockholders in the offering and no exercise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over-allotment option.</w:t>
      </w:r>
    </w:p>
    <w:p>
      <w:pPr>
        <w:spacing w:after="0" w:line="219"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September 29, 2017, which is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60 days after July 31, 2017.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noted below, the address for persons listed in the table is c/o MongoDB, Inc., 229 W. 43rd Street, 5th Floor, New York, NY 10036.</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Shares Beneficially Owned Prior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8"/>
              </w:rPr>
              <w:t>this Offering</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Following this Offering</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Class A</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Class B</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1"/>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Shares of</w:t>
            </w:r>
          </w:p>
        </w:tc>
        <w:tc>
          <w:tcPr>
            <w:tcW w:w="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7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Voting</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Being</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Power†</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Offered</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   Shares   %</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5% or greater</w:t>
            </w:r>
          </w:p>
        </w:tc>
        <w:tc>
          <w:tcPr>
            <w:tcW w:w="6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Sequoia Capital</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Flybridge Capital</w:t>
            </w:r>
            <w:r>
              <w:rPr>
                <w:rFonts w:ascii="Arial" w:cs="Arial" w:eastAsia="Arial" w:hAnsi="Arial"/>
                <w:sz w:val="29"/>
                <w:szCs w:val="29"/>
                <w:color w:val="auto"/>
                <w:vertAlign w:val="superscript"/>
              </w:rPr>
              <w:t>(2)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Union Square Ventures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2008, L.P.</w:t>
            </w:r>
            <w:r>
              <w:rPr>
                <w:rFonts w:ascii="Arial" w:cs="Arial" w:eastAsia="Arial" w:hAnsi="Arial"/>
                <w:sz w:val="29"/>
                <w:szCs w:val="29"/>
                <w:color w:val="auto"/>
                <w:vertAlign w:val="superscript"/>
              </w:rPr>
              <w:t>(3)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7,904,809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Dwight Merriman</w:t>
            </w:r>
            <w:r>
              <w:rPr>
                <w:rFonts w:ascii="Arial" w:cs="Arial" w:eastAsia="Arial" w:hAnsi="Arial"/>
                <w:sz w:val="29"/>
                <w:szCs w:val="29"/>
                <w:color w:val="auto"/>
                <w:vertAlign w:val="superscript"/>
              </w:rPr>
              <w:t>(4)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6,380,313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 New</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Enterprise Associates</w:t>
            </w:r>
            <w:r>
              <w:rPr>
                <w:rFonts w:ascii="Arial" w:cs="Arial" w:eastAsia="Arial" w:hAnsi="Arial"/>
                <w:sz w:val="29"/>
                <w:szCs w:val="29"/>
                <w:color w:val="auto"/>
                <w:vertAlign w:val="superscript"/>
              </w:rPr>
              <w:t>(5)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5,859,029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Fund Investment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w w:val="95"/>
              </w:rPr>
              <w:t>Company No. 4 Pty Ltd</w:t>
            </w:r>
            <w:r>
              <w:rPr>
                <w:rFonts w:ascii="Arial" w:cs="Arial" w:eastAsia="Arial" w:hAnsi="Arial"/>
                <w:sz w:val="29"/>
                <w:szCs w:val="29"/>
                <w:color w:val="auto"/>
                <w:w w:val="95"/>
                <w:vertAlign w:val="superscript"/>
              </w:rPr>
              <w:t>(6)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5,082,477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Eliot Horowitz</w:t>
            </w:r>
            <w:r>
              <w:rPr>
                <w:rFonts w:ascii="Arial" w:cs="Arial" w:eastAsia="Arial" w:hAnsi="Arial"/>
                <w:sz w:val="29"/>
                <w:szCs w:val="29"/>
                <w:color w:val="auto"/>
                <w:vertAlign w:val="superscript"/>
              </w:rPr>
              <w:t>(7)</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4,822,649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Named executive officers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directors: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Dev Ittycheria</w:t>
            </w:r>
            <w:r>
              <w:rPr>
                <w:rFonts w:ascii="Arial" w:cs="Arial" w:eastAsia="Arial" w:hAnsi="Arial"/>
                <w:sz w:val="29"/>
                <w:szCs w:val="29"/>
                <w:color w:val="auto"/>
                <w:vertAlign w:val="superscript"/>
              </w:rPr>
              <w:t>(8)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Carlos Delatorre</w:t>
            </w:r>
            <w:r>
              <w:rPr>
                <w:rFonts w:ascii="Arial" w:cs="Arial" w:eastAsia="Arial" w:hAnsi="Arial"/>
                <w:sz w:val="29"/>
                <w:szCs w:val="29"/>
                <w:color w:val="auto"/>
                <w:vertAlign w:val="superscript"/>
              </w:rPr>
              <w:t>(9)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1,221,782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Michael Gordon</w:t>
            </w:r>
            <w:r>
              <w:rPr>
                <w:rFonts w:ascii="Arial" w:cs="Arial" w:eastAsia="Arial" w:hAnsi="Arial"/>
                <w:sz w:val="29"/>
                <w:szCs w:val="29"/>
                <w:color w:val="auto"/>
                <w:vertAlign w:val="superscript"/>
              </w:rPr>
              <w:t>(10)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1,317,718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5,967,813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175,375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(14)</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 current executive officers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directors as a group</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(11 persons)</w:t>
            </w:r>
            <w:r>
              <w:rPr>
                <w:rFonts w:ascii="Arial" w:cs="Arial" w:eastAsia="Arial" w:hAnsi="Arial"/>
                <w:sz w:val="29"/>
                <w:szCs w:val="29"/>
                <w:color w:val="auto"/>
                <w:vertAlign w:val="superscript"/>
              </w:rPr>
              <w:t>(15)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43,345,404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10293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46" w:lineRule="exact"/>
        <w:rPr>
          <w:sz w:val="20"/>
          <w:szCs w:val="20"/>
          <w:color w:val="auto"/>
        </w:rPr>
      </w:pPr>
    </w:p>
    <w:p>
      <w:pPr>
        <w:ind w:left="1680" w:hanging="531"/>
        <w:spacing w:after="0"/>
        <w:tabs>
          <w:tab w:leader="none" w:pos="1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hanging="531"/>
        <w:spacing w:after="0" w:line="294" w:lineRule="auto"/>
        <w:tabs>
          <w:tab w:leader="none" w:pos="1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ten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 Common Stock—Voting Rights."</w:t>
      </w:r>
    </w:p>
    <w:p>
      <w:pPr>
        <w:spacing w:after="0" w:line="70" w:lineRule="exact"/>
        <w:rPr>
          <w:sz w:val="20"/>
          <w:szCs w:val="20"/>
          <w:color w:val="auto"/>
        </w:rPr>
      </w:pPr>
    </w:p>
    <w:p>
      <w:pPr>
        <w:ind w:left="1680" w:hanging="531"/>
        <w:spacing w:after="0"/>
        <w:tabs>
          <w:tab w:leader="none" w:pos="168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Consists of (a) 6,774,565 shares of Class B common stock held by Sequoia Capital U.S. Growth Fund IV, L.P., or SC USGF IV,</w:t>
      </w:r>
    </w:p>
    <w:p>
      <w:pPr>
        <w:spacing w:after="0" w:line="7" w:lineRule="exact"/>
        <w:rPr>
          <w:rFonts w:ascii="Arial" w:cs="Arial" w:eastAsia="Arial" w:hAnsi="Arial"/>
          <w:sz w:val="28"/>
          <w:szCs w:val="28"/>
          <w:color w:val="auto"/>
          <w:vertAlign w:val="superscript"/>
        </w:rPr>
      </w:pPr>
    </w:p>
    <w:p>
      <w:pPr>
        <w:ind w:left="1680" w:right="40"/>
        <w:spacing w:after="0" w:line="286" w:lineRule="auto"/>
        <w:rPr>
          <w:rFonts w:ascii="Arial" w:cs="Arial" w:eastAsia="Arial" w:hAnsi="Arial"/>
          <w:sz w:val="28"/>
          <w:szCs w:val="28"/>
          <w:color w:val="auto"/>
          <w:vertAlign w:val="superscript"/>
        </w:rPr>
      </w:pPr>
      <w:r>
        <w:rPr>
          <w:rFonts w:ascii="Arial" w:cs="Arial" w:eastAsia="Arial" w:hAnsi="Arial"/>
          <w:sz w:val="16"/>
          <w:szCs w:val="16"/>
          <w:color w:val="auto"/>
        </w:rPr>
        <w:t>(b) 5,954,170 shares of Class B common stock held by Sequoia Capital U.S. Venture 2010 Fund, LP, or SC USV 2010, (c) 654,315 shares of Class B common stock held by Sequoia Capital U.S. Venture 2010 Partners Fund (Q), LP, or SC USV 2010 PFQ, (d) 132,114 shares of Class B common stock held by Sequoia Capital U.S. Venture 2010 Partners Fund, LP, or SC USV 2010 PF and (e) 298,481 shares of Class B common stock held by Sequoia Capital USGF Principals Fund IV, L.P., or SC USGF PF IV. SC US (TTGP), Ltd. is the general partner of SCGF IV Management, L.P., which is the sole general partner of SC USGF IV and SC USGF PF IV, or collectively, the SC GFIV Funds. As a result, SC US (TTGP), Ltd. and SCGF IV Management, L.P. may be deemed to share voting and dispositive power with respect to the shares held by the SC GFIV Funds. SC US (TTGP), Ltd. is the general partner of SC U.S. Venture 2010 Management, L.P., which is the general partner of each of SC USV 2010, SC USV 2010 PF and SC USV</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00"/>
        <w:spacing w:after="0" w:line="259" w:lineRule="auto"/>
        <w:rPr>
          <w:sz w:val="20"/>
          <w:szCs w:val="20"/>
          <w:color w:val="auto"/>
        </w:rPr>
      </w:pPr>
      <w:r>
        <w:rPr>
          <w:rFonts w:ascii="Arial" w:cs="Arial" w:eastAsia="Arial" w:hAnsi="Arial"/>
          <w:sz w:val="18"/>
          <w:szCs w:val="18"/>
          <w:color w:val="auto"/>
        </w:rPr>
        <w:t>2010 PFQ, or collectively, the SC 2010 Funds. As a result, SC US (TTGP), Ltd. and SC U.S. Venture 2010 Management, L.P. may be deemed to share voting and dispositive power with respect to the shares held by the SC 2010 Funds. The address of each of these entities is 2800 Sand Hill Road, Suite 101, Menlo Park, California 94025.</w:t>
      </w:r>
    </w:p>
    <w:p>
      <w:pPr>
        <w:spacing w:after="0" w:line="95" w:lineRule="exact"/>
        <w:rPr>
          <w:sz w:val="20"/>
          <w:szCs w:val="20"/>
          <w:color w:val="auto"/>
        </w:rPr>
      </w:pPr>
    </w:p>
    <w:p>
      <w:pPr>
        <w:ind w:left="1680" w:hanging="531"/>
        <w:spacing w:after="0"/>
        <w:tabs>
          <w:tab w:leader="none" w:pos="1680" w:val="left"/>
        </w:tabs>
        <w:numPr>
          <w:ilvl w:val="0"/>
          <w:numId w:val="93"/>
        </w:numPr>
        <w:rPr>
          <w:rFonts w:ascii="Arial" w:cs="Arial" w:eastAsia="Arial" w:hAnsi="Arial"/>
          <w:sz w:val="28"/>
          <w:szCs w:val="28"/>
          <w:color w:val="auto"/>
          <w:vertAlign w:val="superscript"/>
        </w:rPr>
      </w:pPr>
      <w:r>
        <w:rPr>
          <w:rFonts w:ascii="Arial" w:cs="Arial" w:eastAsia="Arial" w:hAnsi="Arial"/>
          <w:sz w:val="17"/>
          <w:szCs w:val="17"/>
          <w:color w:val="auto"/>
        </w:rPr>
        <w:t>Consists of (a) 9,446,752 shares of Class B common stock held by Flybridge Capital Partners III, L.P., or Flybridge Capital, and</w:t>
      </w:r>
    </w:p>
    <w:p>
      <w:pPr>
        <w:spacing w:after="0" w:line="7" w:lineRule="exact"/>
        <w:rPr>
          <w:rFonts w:ascii="Arial" w:cs="Arial" w:eastAsia="Arial" w:hAnsi="Arial"/>
          <w:sz w:val="28"/>
          <w:szCs w:val="28"/>
          <w:color w:val="auto"/>
          <w:vertAlign w:val="superscript"/>
        </w:rPr>
      </w:pPr>
    </w:p>
    <w:p>
      <w:pPr>
        <w:ind w:left="1680" w:firstLine="9"/>
        <w:spacing w:after="0" w:line="250" w:lineRule="auto"/>
        <w:tabs>
          <w:tab w:leader="none" w:pos="1929" w:val="left"/>
        </w:tabs>
        <w:numPr>
          <w:ilvl w:val="1"/>
          <w:numId w:val="93"/>
        </w:numPr>
        <w:rPr>
          <w:rFonts w:ascii="Arial" w:cs="Arial" w:eastAsia="Arial" w:hAnsi="Arial"/>
          <w:sz w:val="18"/>
          <w:szCs w:val="18"/>
          <w:color w:val="auto"/>
        </w:rPr>
      </w:pPr>
      <w:r>
        <w:rPr>
          <w:rFonts w:ascii="Arial" w:cs="Arial" w:eastAsia="Arial" w:hAnsi="Arial"/>
          <w:sz w:val="18"/>
          <w:szCs w:val="18"/>
          <w:color w:val="auto"/>
        </w:rPr>
        <w:t>21,920 shares of Class B common stock held by Flybridge Network Fund III, L.P., or Flybridge Network. Flybridge Capital Partners GP III, LLC, or Flybridge LLC, is the general partner of Flybridge Capital and Flybridge Network. The managing members of Flybridge LLC are Charles M. Hazard, Jr., David B. Aronoff and Jeffrey J. Bussgang and they share voting and dispositive power over the shares held by Flybridge Capital and Flybridge Network. The address of each of these entities is 31 St. James Avenue, 6th Floor, Boston, Massachusetts 02116.</w:t>
      </w:r>
    </w:p>
    <w:p>
      <w:pPr>
        <w:spacing w:after="0" w:line="217" w:lineRule="exact"/>
        <w:rPr>
          <w:rFonts w:ascii="Arial" w:cs="Arial" w:eastAsia="Arial" w:hAnsi="Arial"/>
          <w:sz w:val="18"/>
          <w:szCs w:val="18"/>
          <w:color w:val="auto"/>
        </w:rPr>
      </w:pPr>
    </w:p>
    <w:p>
      <w:pPr>
        <w:ind w:left="1680" w:right="80" w:hanging="531"/>
        <w:spacing w:after="0" w:line="22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7,904,809 shares of Class B common stock held by Union Square Ventures 2008, L.P., or USV 2008. Union Square GP 2008, L.L.C., or USV GP, is the general partner of USV 2008 and has sole voting and investment power with regard to the shares held directly by USV 2008. Fred Wilson, Brad Burnham and Albert Wenger are the managing members of USV GP and, therefore, share voting and investment power with regard to the shares held directly by USV 2008. The address for USV 2008 is 915 Broadway, 19th Floor, New York, NY 10010.</w:t>
      </w:r>
    </w:p>
    <w:p>
      <w:pPr>
        <w:spacing w:after="0" w:line="212" w:lineRule="exact"/>
        <w:rPr>
          <w:rFonts w:ascii="Arial" w:cs="Arial" w:eastAsia="Arial" w:hAnsi="Arial"/>
          <w:sz w:val="29"/>
          <w:szCs w:val="29"/>
          <w:color w:val="auto"/>
          <w:vertAlign w:val="superscript"/>
        </w:rPr>
      </w:pPr>
    </w:p>
    <w:p>
      <w:pPr>
        <w:ind w:left="1680" w:right="60" w:hanging="531"/>
        <w:spacing w:after="0" w:line="210"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by Dwight Merriman, (b) 412,500 shares of Class B common stock issuable upon the exercise of options and (c) 2,036,333 shares of Class B common stock held by The Dwight A. Merriman 2012 Trust for the benefit of his children.</w:t>
      </w:r>
    </w:p>
    <w:p>
      <w:pPr>
        <w:spacing w:after="0" w:line="13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3"/>
        </w:numPr>
        <w:rPr>
          <w:rFonts w:ascii="Arial" w:cs="Arial" w:eastAsia="Arial" w:hAnsi="Arial"/>
          <w:sz w:val="26"/>
          <w:szCs w:val="26"/>
          <w:color w:val="auto"/>
          <w:vertAlign w:val="superscript"/>
        </w:rPr>
      </w:pPr>
      <w:r>
        <w:rPr>
          <w:rFonts w:ascii="Arial" w:cs="Arial" w:eastAsia="Arial" w:hAnsi="Arial"/>
          <w:sz w:val="16"/>
          <w:szCs w:val="16"/>
          <w:color w:val="auto"/>
        </w:rPr>
        <w:t>Consists of (a) 5,856,373 shares of Class B common stock held by New Enterprise Associates 14, Limited Partnership, or NEA 14, and</w:t>
      </w:r>
    </w:p>
    <w:p>
      <w:pPr>
        <w:spacing w:after="0" w:line="7" w:lineRule="exact"/>
        <w:rPr>
          <w:rFonts w:ascii="Arial" w:cs="Arial" w:eastAsia="Arial" w:hAnsi="Arial"/>
          <w:sz w:val="26"/>
          <w:szCs w:val="26"/>
          <w:color w:val="auto"/>
          <w:vertAlign w:val="superscript"/>
        </w:rPr>
      </w:pPr>
    </w:p>
    <w:p>
      <w:pPr>
        <w:ind w:left="1680" w:right="20" w:firstLine="9"/>
        <w:spacing w:after="0" w:line="285" w:lineRule="auto"/>
        <w:tabs>
          <w:tab w:leader="none" w:pos="1929" w:val="left"/>
        </w:tabs>
        <w:numPr>
          <w:ilvl w:val="1"/>
          <w:numId w:val="93"/>
        </w:numPr>
        <w:rPr>
          <w:rFonts w:ascii="Arial" w:cs="Arial" w:eastAsia="Arial" w:hAnsi="Arial"/>
          <w:sz w:val="16"/>
          <w:szCs w:val="16"/>
          <w:color w:val="auto"/>
        </w:rPr>
      </w:pPr>
      <w:r>
        <w:rPr>
          <w:rFonts w:ascii="Arial" w:cs="Arial" w:eastAsia="Arial" w:hAnsi="Arial"/>
          <w:sz w:val="16"/>
          <w:szCs w:val="16"/>
          <w:color w:val="auto"/>
        </w:rPr>
        <w:t>2,656 shares of Class B common stock held by NEA Ventures 2012, L.P., or Ven 2012. The shares directly held by NEA 14 are indirectly held by NEA Partners 14, L.P., or NEA Partners 14, the sole general partner of NEA 14, NEA 14 GP, LTD, or NEA 14 LTD, the sole general partner of NEA Partners 14 and each of the individual directors of NEA 14 LTD. The individual directors of NEA 14 LTD, collectively the NEA 14 Directors, are M. James Barrett, Peter J. Barris, Forest Baskett, Anthony A. Florence, Jr., Patrick J. Kerins, David M. Mott, Scott D. Sandell, Peter Sonsini and Ravi Viswanathan. The shares directly held by Ven 2012 are indirectly held by Karen P. Welsh, the general partner of Ven 2012. NEA 14, NEA Partners 14 and NEA 14 LTD and the NEA 14 Directors share voting and dispositive power with regard to our securities directly held by NEA 14. Karen P. Welsh, the general partner of Ven 2012, shares voting and dispositive power with regard to our securities directly held by Ven 2012. The principal business address of NEA 14 and Ven 2012 is 1954 Greenspring Drive, Suite 600, Timonium, Maryland 21093.</w:t>
      </w:r>
    </w:p>
    <w:p>
      <w:pPr>
        <w:spacing w:after="0" w:line="193" w:lineRule="exact"/>
        <w:rPr>
          <w:rFonts w:ascii="Arial" w:cs="Arial" w:eastAsia="Arial" w:hAnsi="Arial"/>
          <w:sz w:val="16"/>
          <w:szCs w:val="16"/>
          <w:color w:val="auto"/>
        </w:rPr>
      </w:pPr>
    </w:p>
    <w:p>
      <w:pPr>
        <w:jc w:val="both"/>
        <w:ind w:left="1680" w:right="60" w:hanging="531"/>
        <w:spacing w:after="0" w:line="251" w:lineRule="auto"/>
        <w:tabs>
          <w:tab w:leader="none" w:pos="1680" w:val="left"/>
        </w:tabs>
        <w:numPr>
          <w:ilvl w:val="0"/>
          <w:numId w:val="93"/>
        </w:numPr>
        <w:rPr>
          <w:rFonts w:ascii="Arial" w:cs="Arial" w:eastAsia="Arial" w:hAnsi="Arial"/>
          <w:sz w:val="25"/>
          <w:szCs w:val="25"/>
          <w:color w:val="auto"/>
          <w:vertAlign w:val="superscript"/>
        </w:rPr>
      </w:pPr>
      <w:r>
        <w:rPr>
          <w:rFonts w:ascii="Arial" w:cs="Arial" w:eastAsia="Arial" w:hAnsi="Arial"/>
          <w:sz w:val="15"/>
          <w:szCs w:val="15"/>
          <w:color w:val="auto"/>
        </w:rPr>
        <w:t>Consists of 5,082,477 shares of Class B common stock held by The Northern Trust Company in its capacity as custodian for Future Fund Investment Company No. 4 Pty Ltd (ACN 134 338 908), or the Future Fund. The Future Fund is a wholly owned subsidiary of the Future Fund Board of Guardians. The principal business address of the Future Fund is Level 42, 120 Collins Street, Melbourne VIC 3000.</w:t>
      </w:r>
    </w:p>
    <w:p>
      <w:pPr>
        <w:spacing w:after="0" w:line="202" w:lineRule="exact"/>
        <w:rPr>
          <w:rFonts w:ascii="Arial" w:cs="Arial" w:eastAsia="Arial" w:hAnsi="Arial"/>
          <w:sz w:val="25"/>
          <w:szCs w:val="25"/>
          <w:color w:val="auto"/>
          <w:vertAlign w:val="superscript"/>
        </w:rPr>
      </w:pPr>
    </w:p>
    <w:p>
      <w:pPr>
        <w:ind w:left="1680" w:right="180" w:hanging="531"/>
        <w:spacing w:after="0" w:line="210"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3,022,649 shares of Class B common stock held directly by Mr. Horowitz, (b) 750,000 shares of Class B common stock held by The ERH Family 2012 Trust for the benefit of his children and (c) 1,050,000 shares of Class B common stock issuable upon the exercise of an options.</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31,928 shares of Class B common stock held directly by Mr. Ittycheria and (b) 5,468,072 shares of Class B common stock issuable upon the exercise of options.</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1,221,782 shares of Class B common stock issuable upon the exercise of options.</w:t>
      </w:r>
    </w:p>
    <w:p>
      <w:pPr>
        <w:spacing w:after="0" w:line="209" w:lineRule="exact"/>
        <w:rPr>
          <w:rFonts w:ascii="Arial" w:cs="Arial" w:eastAsia="Arial" w:hAnsi="Arial"/>
          <w:sz w:val="29"/>
          <w:szCs w:val="29"/>
          <w:color w:val="auto"/>
          <w:vertAlign w:val="superscript"/>
        </w:rPr>
      </w:pPr>
    </w:p>
    <w:p>
      <w:pPr>
        <w:ind w:left="1680" w:right="12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B common stock held directly by Mr. Gordon and (b) 1,217,718 shares of Class B common stock issuable upon the exercise of options.</w:t>
      </w:r>
    </w:p>
    <w:p>
      <w:pPr>
        <w:spacing w:after="0" w:line="211" w:lineRule="exact"/>
        <w:rPr>
          <w:rFonts w:ascii="Arial" w:cs="Arial" w:eastAsia="Arial" w:hAnsi="Arial"/>
          <w:sz w:val="29"/>
          <w:szCs w:val="29"/>
          <w:color w:val="auto"/>
          <w:vertAlign w:val="superscript"/>
        </w:rPr>
      </w:pPr>
    </w:p>
    <w:p>
      <w:pPr>
        <w:ind w:left="1680" w:right="16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directly by Mr. Ryan and (b) 2,036,333 shares of Class B common stock held by The Kevin P. Ryan 2012 Trust for the benefit of his children.</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A common stock issuable upon the exercise of an option.</w:t>
      </w:r>
    </w:p>
    <w:p>
      <w:pPr>
        <w:spacing w:after="0" w:line="209" w:lineRule="exact"/>
        <w:rPr>
          <w:rFonts w:ascii="Arial" w:cs="Arial" w:eastAsia="Arial" w:hAnsi="Arial"/>
          <w:sz w:val="29"/>
          <w:szCs w:val="29"/>
          <w:color w:val="auto"/>
          <w:vertAlign w:val="superscript"/>
        </w:rPr>
      </w:pPr>
    </w:p>
    <w:p>
      <w:pPr>
        <w:ind w:left="1680" w:right="32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75,375 shares of Class B common stock held directly by Mr. Killalea and (b) 100,000 shares of Class B common stock issuable upon the exercise of options.</w:t>
      </w:r>
    </w:p>
    <w:p>
      <w:pPr>
        <w:spacing w:after="0" w:line="211" w:lineRule="exact"/>
        <w:rPr>
          <w:rFonts w:ascii="Arial" w:cs="Arial" w:eastAsia="Arial" w:hAnsi="Arial"/>
          <w:sz w:val="29"/>
          <w:szCs w:val="29"/>
          <w:color w:val="auto"/>
          <w:vertAlign w:val="superscript"/>
        </w:rPr>
      </w:pPr>
    </w:p>
    <w:p>
      <w:pPr>
        <w:ind w:left="1680" w:right="14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21,500 shares of Class B common stock held directly by Mr. McMahon and (b) 100,000 shares of Class B common stock issuable upon the exercise of options.</w:t>
      </w:r>
    </w:p>
    <w:p>
      <w:pPr>
        <w:spacing w:after="0" w:line="224"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A common stock issuable upon the exercise of options, (b) 33,261,582 shares of Class B common stock and (c) 10,083,822 shares of Class B common stock issuable upon the exercise of options.</w:t>
      </w:r>
    </w:p>
    <w:p>
      <w:pPr>
        <w:sectPr>
          <w:pgSz w:w="11900" w:h="16838" w:orient="portrait"/>
          <w:cols w:equalWidth="0" w:num="1">
            <w:col w:w="11420"/>
          </w:cols>
          <w:pgMar w:left="240" w:top="13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descriptions of our capital stock, certain provisions of our amended and restated certificate of incorporation and amended and restated bylaws, as each will be in effect upon the closing of this offering, and certain provisions of Delaware law are summaries. You should also refer to the amended and restated certificate of incorporation and the amended and restated bylaws, which are filed as exhibits to the registration statement of which this prospectus is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this offering, our amended and restated certificate of incorporation will provide for two classes of common stock: Class A common stock and Class B common stock.</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shares, all with a par value of $0.001 per share, of which:</w:t>
      </w:r>
    </w:p>
    <w:p>
      <w:pPr>
        <w:spacing w:after="0" w:line="211" w:lineRule="exact"/>
        <w:rPr>
          <w:sz w:val="20"/>
          <w:szCs w:val="20"/>
          <w:color w:val="auto"/>
        </w:rPr>
      </w:pPr>
    </w:p>
    <w:p>
      <w:pPr>
        <w:sectPr>
          <w:pgSz w:w="11900" w:h="16838" w:orient="portrait"/>
          <w:cols w:equalWidth="0" w:num="2">
            <w:col w:w="5880" w:space="720"/>
            <w:col w:w="4820"/>
          </w:cols>
          <w:pgMar w:left="240" w:top="131"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A common stock; and</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B common stock.</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As of July 31, 2017, after giving effect to the conversion of all outstanding shares of our redeemable convertible preferred stock into shares of Class B common stock in connection with the closing of this offering, there would have been outstanding:</w:t>
      </w:r>
    </w:p>
    <w:p>
      <w:pPr>
        <w:spacing w:after="0" w:line="19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81,800,522 shares of Class B common stock held by 544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19,275,582 shares of Class B common stock issuable upon exercise of outstanding options and outstanding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136,400 shares of Class A common stock held by 35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5,836,950 shares of Class A common stock issuable upon exercise of outstanding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shares of Class A common stock and Class B common stock are not redeemable and have no preemptive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212" w:lineRule="exact"/>
        <w:rPr>
          <w:sz w:val="20"/>
          <w:szCs w:val="20"/>
          <w:color w:val="auto"/>
        </w:rPr>
      </w:pPr>
    </w:p>
    <w:p>
      <w:pPr>
        <w:ind w:left="1080" w:right="10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199" w:lineRule="exact"/>
        <w:rPr>
          <w:rFonts w:ascii="Arial" w:cs="Arial" w:eastAsia="Arial" w:hAnsi="Arial"/>
          <w:sz w:val="18"/>
          <w:szCs w:val="18"/>
          <w:color w:val="auto"/>
        </w:rPr>
      </w:pPr>
    </w:p>
    <w:p>
      <w:pPr>
        <w:ind w:left="1080" w:right="96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in connection with a change in control with respect to any consideration into which the shares are converted or any consideration paid or otherwise distributed to our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there will be a separate vote of our Class B common stock in order for us to, directly or indirectly, take action in the following circumstances:</w:t>
      </w:r>
    </w:p>
    <w:p>
      <w:pPr>
        <w:spacing w:after="0" w:line="262" w:lineRule="exact"/>
        <w:rPr>
          <w:sz w:val="20"/>
          <w:szCs w:val="20"/>
          <w:color w:val="auto"/>
        </w:rPr>
      </w:pPr>
    </w:p>
    <w:p>
      <w:pPr>
        <w:jc w:val="both"/>
        <w:ind w:left="1080" w:right="4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 or</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we reclassify any outstanding shares of Class A common stock into shares having rights as to dividends or liquidation that are senior to the Class B common stock or the right to more than one vote for each share thereof.</w:t>
      </w:r>
    </w:p>
    <w:p>
      <w:pPr>
        <w:spacing w:after="0" w:line="186"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Upon the closing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 unless different treatment of the shares of each such class is approved by the affirmative vote of the holders of a majority of the outstanding shares of the applicable class of common stock treated adversely, voting separately as a class.</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Any dividend or distribution paid or payable to the holders of shares of Class A common stock and Class B common stock shall be paid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 on an equal priority, pari passu 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Subdivisions and Combinations. </w:t>
      </w:r>
      <w:r>
        <w:rPr>
          <w:rFonts w:ascii="Arial" w:cs="Arial" w:eastAsia="Arial" w:hAnsi="Arial"/>
          <w:sz w:val="18"/>
          <w:szCs w:val="18"/>
          <w:color w:val="auto"/>
        </w:rPr>
        <w:t>If we subdivide or combine in any manner outstanding shares of Class A common stock or Class B common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all common stock will be subdivided or combined in the same proportion and manner.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Change of Control Transaction. </w:t>
      </w:r>
      <w:r>
        <w:rPr>
          <w:rFonts w:ascii="Arial" w:cs="Arial" w:eastAsia="Arial" w:hAnsi="Arial"/>
          <w:sz w:val="18"/>
          <w:szCs w:val="18"/>
          <w:color w:val="auto"/>
        </w:rPr>
        <w:t>In connection with any change of control, the holders of Class A common stock and Class B common stock will be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and identically with respect to shares of Class A common stock or Class B common stock owned by them.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In addition, each share of Class B common stock will convert automatically into one share of Class A common stock upon (1) any transfer, whether or not for value and whether voluntary or involuntary or by operation of law, except for certain transfers described in our amended and restated certificate of incorporation, including, without limitation, certain transfers for tax and estate planning purposes or (2) the death or disability, as defined in our amended and restated certificate of incorporation, of the Class B common stockholder (or nine months after the date of death or disability if the stockholder is one of our founders). In addition, upon the date on which the outstanding shares of Class B common stock represent less than 10% of the aggregate voting power of our then outstanding capital stock, all outstanding shares of Class B common stock shall convert automatically into Class A common stock, and no additional shares of Class B common stock will be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of July 31, 2017, options to purchase an aggregate of 19,028,377 shares of Class B common stock were outstanding under our 2008 Plan at a weighted-average exercise price of $3.21 per share and options to purchase an aggregate of 5,836,950 shares of Class A common stock were outstanding under our 2016 Plan at a weighted-average exercise price of $4.47 per share. For additional information regarding the terms of our 2008 Plan and our 2016 Plan, see "Executive Compensation—Equity Incentive Plans—2008 Stock Plan" and "—2016 Equity Incentive Plan,"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As of July 31, 2017, warrants to acquire an aggregate of 247,205 shares of our Class B common stock were outstanding, after giving effect to the offering and the conversion of our outstanding redeemable convertible preferred stock warrants into Class B common stock warrants. The warrants are exercisable at a weighted-average exercise price of $2.94 per share.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These warrants contain provisions for the adjustment of the exercise price and the number of shares issuable upon the exercise of the warrant in the event of certain stock dividends, stock splits, reorganizations, reclassifications and consolidations.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After the closing of this offering, certain holders of the Class B common stock, including holders of the shares of our Class B common stock that will be issued upon conversion of our redeemable convertible preferred stock in connection with this offering, will be entitled to certain rights with respect to registration of such shares under the Securities Act pursuant to the terms of an investors' rights agreement. These shares are collectively referred to herein as registrable securities.</w:t>
      </w:r>
    </w:p>
    <w:p>
      <w:pPr>
        <w:spacing w:after="0" w:line="197" w:lineRule="exact"/>
        <w:rPr>
          <w:sz w:val="20"/>
          <w:szCs w:val="20"/>
          <w:color w:val="auto"/>
        </w:rPr>
      </w:pPr>
    </w:p>
    <w:p>
      <w:pPr>
        <w:ind w:right="300" w:firstLine="348"/>
        <w:spacing w:after="0" w:line="323" w:lineRule="auto"/>
        <w:rPr>
          <w:sz w:val="20"/>
          <w:szCs w:val="20"/>
          <w:color w:val="auto"/>
        </w:rPr>
      </w:pPr>
      <w:r>
        <w:rPr>
          <w:rFonts w:ascii="Arial" w:cs="Arial" w:eastAsia="Arial" w:hAnsi="Arial"/>
          <w:sz w:val="15"/>
          <w:szCs w:val="15"/>
          <w:color w:val="auto"/>
        </w:rPr>
        <w:t>The investors' rights agreement provides the holders of registrable securities with demand, piggyback and Form S-3 registration rights as described more fully below. As of July 31, 2017, after giving effect to the conversion of all outstanding shares of redeemable convertible preferred stock into shares of our Class B common stock in connection with the closing of the offering, there would have been an aggregate of 56,034,889 shares of Class B common stock that were entitled to demand and Form S-3 registration rights and 72,810,682 shares of Class B common stock that were entitled to piggyback registration rights.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any time beginning 180 days after the effective date of the registration statement of which this prospectus forms a part, the holders of 30% of the registrable securities then outstanding have the right to make up to two demands that we file a registration statement under the Securities Act covering registrable securities then outstanding having an aggregate offering price, net of selling expenses, of at least $7.5 million, subject to specified exceptions.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piggyback registration rights are subject to specified conditions and limitations, including the right of the underwriters of any underwritten offering to limit the number of shares with registration rights to be included in the registration statement, but not below 30% of the total number of securities included in such registration.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If we are eligible to file a registration statement on Form S-3, the holders of 30% of the registrable securities then outstanding have the right to demand that we file registration statements on Form S-3; provided, that the aggregate offering price, net of selling expenses, of the securities to be sold under the registration statement is at least $1.0 million. The right to have such shares registered on Form S-3 is further subject to other specified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registration rights will terminate five years following the closing of this offering and, with respect to any particular stockholder, when such stockholder holds less than 1% of our outstanding common stock and is able to sell all of its shares during a 90-day period pursuant to Rule 144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Statute</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8" w:lineRule="exact"/>
        <w:rPr>
          <w:sz w:val="20"/>
          <w:szCs w:val="20"/>
          <w:color w:val="auto"/>
        </w:rPr>
      </w:pPr>
    </w:p>
    <w:p>
      <w:pPr>
        <w:ind w:left="1080" w:right="7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21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370" w:lineRule="auto"/>
        <w:rPr>
          <w:sz w:val="20"/>
          <w:szCs w:val="20"/>
          <w:color w:val="auto"/>
        </w:rPr>
      </w:pPr>
      <w:r>
        <w:rPr>
          <w:rFonts w:ascii="Arial" w:cs="Arial" w:eastAsia="Arial" w:hAnsi="Arial"/>
          <w:sz w:val="15"/>
          <w:szCs w:val="15"/>
          <w:color w:val="auto"/>
        </w:rPr>
        <w:t>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30" w:lineRule="exact"/>
        <w:rPr>
          <w:sz w:val="20"/>
          <w:szCs w:val="20"/>
          <w:color w:val="auto"/>
        </w:rPr>
      </w:pPr>
    </w:p>
    <w:p>
      <w:pPr>
        <w:ind w:left="1080" w:right="580" w:hanging="532"/>
        <w:spacing w:after="0" w:line="22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6" w:lineRule="exact"/>
        <w:rPr>
          <w:sz w:val="20"/>
          <w:szCs w:val="20"/>
          <w:color w:val="auto"/>
        </w:rPr>
      </w:pPr>
    </w:p>
    <w:p>
      <w:pPr>
        <w:ind w:left="180" w:right="360" w:hanging="179"/>
        <w:spacing w:after="0" w:line="268" w:lineRule="auto"/>
        <w:rPr>
          <w:sz w:val="20"/>
          <w:szCs w:val="20"/>
          <w:color w:val="auto"/>
        </w:rPr>
      </w:pPr>
      <w:r>
        <w:rPr>
          <w:rFonts w:ascii="Arial" w:cs="Arial" w:eastAsia="Arial" w:hAnsi="Arial"/>
          <w:sz w:val="18"/>
          <w:szCs w:val="18"/>
          <w:b w:val="1"/>
          <w:bCs w:val="1"/>
          <w:i w:val="1"/>
          <w:iCs w:val="1"/>
          <w:color w:val="auto"/>
        </w:rPr>
        <w:t>Anti-Takeover Effects of Certain Provisions of our Amended and Restated Certificate of Incorporation and Amended and Restated Bylaws to be in Effect Upon the Closing of this Offering</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provides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the Class A common stock and Class B common stock outstanding will be able to elect all of our directors. Our amended and restated certificate of incorporation provides for a two-class common stock structure, which provides our founders, current stockholders, executives and certain employees with significant influence over all matters requiring stockholder approval, including the election of directors and significant corporate transactions, such as a merger or other sale of our company or its assets.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and amended and restated bylaws will also provide that:</w:t>
      </w:r>
    </w:p>
    <w:p>
      <w:pPr>
        <w:spacing w:after="0" w:line="239" w:lineRule="exact"/>
        <w:rPr>
          <w:sz w:val="20"/>
          <w:szCs w:val="20"/>
          <w:color w:val="auto"/>
        </w:rPr>
      </w:pPr>
    </w:p>
    <w:p>
      <w:pPr>
        <w:ind w:left="1080" w:right="12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prior to the date on which all shares of common stock convert into a single class, the authorized number of directors may be changed only by resolution of the stockholders and from and after the date on which all shares of common stock convert into a single class, the authorized number of directors may be changed only by resolution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or, prior to the date on which all shares of common stock convert into a single class, by written consent; and</w:t>
      </w:r>
    </w:p>
    <w:p>
      <w:pPr>
        <w:spacing w:after="0" w:line="199"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special meeting of stockholders may be called by a majority of our whole board of directors, the chair of our board of directors, our chief executive officer or, prior to the date on which all shares of common stock convert into a single class, the holders of at least 10% of the total voting power of our Class A common stock and Class B common stock, voting together as a single class.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transfer agent and registrar for our Class A common stock and Class B common stock is American Stock Transfer &amp; Trust Company, LLC. The transfer agent's address is 6201 15th Avenue, Brooklyn, NY 11219.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We intend to apply for listing of our Class A common stock on the</w:t>
      </w:r>
      <w:r>
        <w:rPr>
          <w:sz w:val="20"/>
          <w:szCs w:val="20"/>
          <w:color w:val="auto"/>
        </w:rPr>
        <w:tab/>
      </w:r>
      <w:r>
        <w:rPr>
          <w:rFonts w:ascii="Arial" w:cs="Arial" w:eastAsia="Arial" w:hAnsi="Arial"/>
          <w:sz w:val="16"/>
          <w:szCs w:val="16"/>
          <w:color w:val="auto"/>
        </w:rPr>
        <w:t>under the trading symbol "MDB."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no public market existed for our capital stock, and although we expect that our Class A common stock will be approved for listing on</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 we cannot assure investors that there will be an active public market for our Class A common stock following this offering. We cannot predict what effect, if any, sales of our shares in the public market or the availability of shares for sale will have on the market price of our Class A common stock. Future sales of substantial amounts of Class A common stock in the public market, the availability of shares for future sale or the perception that such sales may occur, however, could adversely affect the market price of our Class A common stock and also could adversely affect our future ability to raise capital through the sale of our Class A common stock or other equity-related securities at times and prices we believe appropriate.</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our shares outstanding as of July 31, 2017, upon the closing of this offering,</w:t>
      </w:r>
    </w:p>
    <w:p>
      <w:pPr>
        <w:spacing w:after="0" w:line="38"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our Class B common stock will be outstanding, or</w:t>
      </w:r>
      <w:r>
        <w:rPr>
          <w:sz w:val="20"/>
          <w:szCs w:val="20"/>
          <w:color w:val="auto"/>
        </w:rPr>
        <w:tab/>
      </w:r>
      <w:r>
        <w:rPr>
          <w:rFonts w:ascii="Arial" w:cs="Arial" w:eastAsia="Arial" w:hAnsi="Arial"/>
          <w:sz w:val="15"/>
          <w:szCs w:val="15"/>
          <w:color w:val="auto"/>
        </w:rPr>
        <w:t>shares of Class A common stock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their over-allotment option in full.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spacing w:after="0" w:line="332" w:lineRule="auto"/>
        <w:rPr>
          <w:sz w:val="20"/>
          <w:szCs w:val="20"/>
          <w:color w:val="auto"/>
        </w:rPr>
      </w:pPr>
      <w:r>
        <w:rPr>
          <w:rFonts w:ascii="Arial" w:cs="Arial" w:eastAsia="Arial" w:hAnsi="Arial"/>
          <w:sz w:val="16"/>
          <w:szCs w:val="16"/>
          <w:color w:val="auto"/>
        </w:rPr>
        <w:t>shares of our Class A common stock and        shares of shares of our Class B common stock if the underwriters</w:t>
      </w:r>
    </w:p>
    <w:p>
      <w:pPr>
        <w:spacing w:after="0" w:line="336" w:lineRule="exact"/>
        <w:rPr>
          <w:sz w:val="20"/>
          <w:szCs w:val="20"/>
          <w:color w:val="auto"/>
        </w:rPr>
      </w:pPr>
    </w:p>
    <w:p>
      <w:pPr>
        <w:sectPr>
          <w:pgSz w:w="11900" w:h="16838" w:orient="portrait"/>
          <w:cols w:equalWidth="0" w:num="2">
            <w:col w:w="6820" w:space="400"/>
            <w:col w:w="4200"/>
          </w:cols>
          <w:pgMar w:left="240" w:top="131" w:right="239" w:bottom="1440" w:gutter="0" w:footer="0" w:header="0"/>
          <w:type w:val="continuous"/>
        </w:sectPr>
      </w:pPr>
    </w:p>
    <w:p>
      <w:pPr>
        <w:spacing w:after="0" w:line="19"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All of the shares of Class A common stock sold in this offering will be freely tradable without restrictions or further registration under the Securities Act, except for any shares sold to our "affiliates," as that term is defined under Rule 144 under the Securities Act. The outstanding shares of Class B common stock held by existing stockholders are "restricted securities," as that term is defined in Rule 144 under the Securities Act. Restricted securities may be sold in the public market only if the offer and sale is registered under the Securities Act or if the offer and sale of those securities qualifies for exemption from registration, including exemptions provided by Rules 144 or 701 promulgated under the Securities Act.</w:t>
      </w:r>
    </w:p>
    <w:p>
      <w:pPr>
        <w:spacing w:after="0" w:line="170"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a result of lock-up agreements and market standoff provisions described below and the provisions of Rules 144 and 701, shares of our common stock will be available for sale in the public market as follows:</w:t>
      </w:r>
    </w:p>
    <w:p>
      <w:pPr>
        <w:spacing w:after="0" w:line="199" w:lineRule="exact"/>
        <w:rPr>
          <w:sz w:val="20"/>
          <w:szCs w:val="20"/>
          <w:color w:val="auto"/>
        </w:rPr>
      </w:pPr>
    </w:p>
    <w:p>
      <w:pPr>
        <w:ind w:left="1620" w:hanging="107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shares of our Class A common stock will be eligible for immediate sale upon the closing of this offering; and</w:t>
      </w:r>
    </w:p>
    <w:p>
      <w:pPr>
        <w:spacing w:after="0" w:line="225" w:lineRule="exact"/>
        <w:rPr>
          <w:sz w:val="20"/>
          <w:szCs w:val="20"/>
          <w:color w:val="auto"/>
        </w:rPr>
      </w:pPr>
    </w:p>
    <w:p>
      <w:pPr>
        <w:ind w:left="1080" w:right="140" w:hanging="539"/>
        <w:spacing w:after="0" w:line="306"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approximately shares of our Class B common stock, upon reclassification into shares of Class A common stock, will be eligible for sale upon expiration of lock-up agreements and market standoff provisions described below, beginning 181 days after the date of this prospectus, subject in certain circumstances to the volume, manner of sale and other limitations under Rule 144 and Rule 701.</w:t>
      </w:r>
    </w:p>
    <w:p>
      <w:pPr>
        <w:spacing w:after="0" w:line="18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may issue shares of our capital stock from time to time for a variety of corporate purposes, including in capital-raising activities through future public offerings or private placements, in connection with the exercise of stock options and warrants, vesting of restricted stock units and other issuances relating to our employee benefit plans and as consideration for future acquisitions, investments or other purposes. The number of shares of our capital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shares will have the right, under certain circumstances, to cause us to register any resale of such shares to the public.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ours who owns either restricted or unrestricted shares of our common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sell their securities without registration with the SEC under an exemption from registration provided by Rule 144 under the Securities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9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restricted securities have been held for at least six months, including the holding period of any prior owner other than one of our affiliates;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Persons seeking to sell restricted securities who are our affiliates at the time of, or any time during the three months preceding, a sale, would be subject to the restrictions described above. Sales of restricted or unrestricted shares of our common stock by affiliates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1% of the number of shares of our Class A common stock then outstanding, which will equal approximately</w:t>
      </w:r>
      <w:r>
        <w:rPr>
          <w:sz w:val="20"/>
          <w:szCs w:val="20"/>
          <w:color w:val="auto"/>
        </w:rPr>
        <w:tab/>
      </w:r>
      <w:r>
        <w:rPr>
          <w:rFonts w:ascii="Arial" w:cs="Arial" w:eastAsia="Arial" w:hAnsi="Arial"/>
          <w:sz w:val="15"/>
          <w:szCs w:val="15"/>
          <w:color w:val="auto"/>
        </w:rPr>
        <w:t>shares immediately after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closing of this offering based on the number of shares outstanding as of July 31, 2017; or</w:t>
      </w:r>
    </w:p>
    <w:p>
      <w:pPr>
        <w:spacing w:after="0" w:line="246"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the average weekly trading volume of our Class A common stock on the</w:t>
      </w:r>
      <w:r>
        <w:rPr>
          <w:sz w:val="20"/>
          <w:szCs w:val="20"/>
          <w:color w:val="auto"/>
        </w:rPr>
        <w:tab/>
      </w:r>
      <w:r>
        <w:rPr>
          <w:rFonts w:ascii="Arial" w:cs="Arial" w:eastAsia="Arial" w:hAnsi="Arial"/>
          <w:sz w:val="16"/>
          <w:szCs w:val="16"/>
          <w:color w:val="auto"/>
        </w:rPr>
        <w:t>during the four calendar weeks preceding the filing of a notice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 Form 144 with respect to the sale.</w:t>
      </w:r>
    </w:p>
    <w:p>
      <w:pPr>
        <w:spacing w:after="0" w:line="596" w:lineRule="exact"/>
        <w:rPr>
          <w:sz w:val="20"/>
          <w:szCs w:val="20"/>
          <w:color w:val="auto"/>
        </w:rPr>
      </w:pPr>
    </w:p>
    <w:p>
      <w:pPr>
        <w:sectPr>
          <w:pgSz w:w="11900" w:h="16838" w:orient="portrait"/>
          <w:cols w:equalWidth="0" w:num="2">
            <w:col w:w="660" w:space="420"/>
            <w:col w:w="10340"/>
          </w:cols>
          <w:pgMar w:left="240" w:top="131" w:right="239" w:bottom="1440" w:gutter="0" w:footer="0" w:header="0"/>
          <w:type w:val="continuous"/>
        </w:sectPr>
      </w:pPr>
    </w:p>
    <w:p>
      <w:pPr>
        <w:spacing w:after="0" w:line="5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holding period,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subject to the expiration of the lock-up agreements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31"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 of July 31, 2017, options to purchase an aggregate of 5,836,950 shares of our Class A common stock and options to purchase an aggregate of 19,028,377 shares of our Class B common stock were outstanding. As soon as practicable after the closing of this offering, we intend to file with the SEC one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more registration statements on Form S-8 under the Securities Act to register the shares of our common stock that are issuable pursuant to our equity incentive plans, including pursuant to outstanding options. See "Executive Compensation—Equity Incentive Plans" for a description of our equity incentive plans.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connection with this offering, we, our directors and officers, and the holders of substantially all of our capital stock and securities convertible into our capital stock, including all of the selling stockholders, have agreed, subject to certain exceptions, not to offer, sell, or transfer any Class A common stock or securities convertible into or exchangeable for our Class A common stock for 180 days after the date of this prospectus without the prior written consent of Morgan Stanley &amp; Co. LLC, Goldman Sachs &amp; Co. LLC and Barclays Capital Inc. on behalf of the underwriters.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agreements do not contain any pre-established conditions to the waiver by Morgan Stanley &amp; Co. LLC, Goldman Sachs &amp; Co. LLC and Barclays Capital Inc. on behalf of the underwriters of any terms of the lock-up agreements. Any determination to release shares subject to the lock-up agreements would be based on a number of factors at the time of determination, including but not necessarily limited to the market price of the Class A common stock, the liquidity of the trading market for the Class A common stock, general market conditions, the number of shares proposed to be sold and the timing, purpose and terms of the proposed sale.</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to the restrictions contained in the lock-up agreements described above, we have entered into agreements with certain of our security holders, including our investors' rights agreement and agreements governing our equity awards, that contain market stand-off provisions imposing restrictions on the ability of such security holders to offer, sell or transfer our equity securities for a period of 180 days following the date of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closing of this offering, the holders of 72,810,682 shares of our Class B common stock, including warrants to purchase such shares, or their transferees, will be entitled to certain rights with respect to the registration of the offer and sale of their shares under the Securities Act. Registration of the offer and sale of these shares under the Securities Act would result in the shares becoming freely tradable without restriction under the Securities Act immediately upon the effectiveness of the registration. See "Description of Capital Stock—Registration Rights" for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1" w:lineRule="exact"/>
        <w:rPr>
          <w:sz w:val="20"/>
          <w:szCs w:val="20"/>
          <w:color w:val="auto"/>
        </w:rPr>
      </w:pPr>
    </w:p>
    <w:p>
      <w:pPr>
        <w:ind w:right="100" w:firstLine="348"/>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considerations of the acquisition, ownership and disposition of our Class A common stock by "Non-U.S. Holders" (as defined below). This discussion is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pension plans, real estate investment trusts, controlled foreign corporations, passive foreign investment companies, corporations that accumulate earnings to avoid U.S. federal income tax, persons who use or are required to use mark-to-market accounting, persons that hold our shares as part of a "straddle," a "hedge", a "conversion transaction," "synthetic security", integrated investment or other risk reduction strategy, persons that have a "functional currency" other than the U.S. dollar, certain former citizens or permanent residents of the United States, persons who hold or receive shares of our Class A common stock pursuant to the exercise of an employee stock option or otherwise as compensation, persons that own or are deemed to own (directly, indirectly or constructively) more than 5% of our Class A common stock (except to the extent specifically set forth below), persons that own, or are deemed to own, our Class B common stock (and only to the extent of their ownership of our Class B common stock), or investors in pass-through entities (or entities that are treated as disregarded entities for U.S. federal income tax purposes). In addition, this discussion does not address the effects of any applicable gift or estate tax, the potential application of the alternative minimum tax, or any tax considerations that may apply to Non-U.S. Holders of our Class A common stock under state, local or non-U.S. tax laws and any other U.S. federal tax laws. In addition, this discussion does not take into account or address changes to United States tax law that may result from tax reforms that may be enacted in 2017 or thereafter.</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discussion is based on the Internal Revenue Code of 1986, as amended, or the Code, and applicable Treasury Regulations promulgated thereunder and rulings, administrative pronouncements and judicial decisions that are issued and available as of the date of this registration statement, all of which are subject to change or differing interpretations at any time with possible retroactive effect.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discussion is limited to a Non-U.S. Holder who will hold our Class A common stock as a capital asset within the meaning of the Code (generally, property held for investment). For purposes of this discussion, the term "Non-U.S. Holder" means a beneficial owner of our Class A common stock that is not a partnership (or entity or arrangement treated as a partnership for U.S. federal income tax purposes) and is not, for U.S. federal income tax purposes, any of the following:</w:t>
      </w:r>
    </w:p>
    <w:p>
      <w:pPr>
        <w:spacing w:after="0" w:line="186"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if (1) a court within the United States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 partnership (or entity or arrangement treated as a partnership for U.S. federal income tax purposes) is a beneficial owner of our Class A common stock, the tax treatment of such partnership and a partner in such partnership generally will depend upon the status of the partner and the activities of the partnership. If you are a partner of a partnership holding our shares, you should consult your tax advisor regarding the tax consequences of the purchase, ownership, and disposition of our Class A common stock.</w:t>
      </w:r>
    </w:p>
    <w:p>
      <w:pPr>
        <w:spacing w:after="0" w:line="191"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THIS SUMMARY IS NOT INTENDED TO BE TAX ADVICE. PROSPECTIVE INVESTORS SHOULD CONSULT THEIR OWN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general, subject to the discussions below under the headings "Information Reporting and Backup Withholding" and "Foreign Accounts," distributions, if any, paid on our Class A common stock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Any distribution not constituting a dividend (because such distribution exceeds our current and accumulated earnings and profits) will be treated first as reducing the Non-U.S. Holder's basis in its shares of our Class A common stock, but not below zero, and to the extent it exceeds the Non-U.S. Holder's basis, as capital gain from the sale or exchange of such shares of Class A Common Stock (see "Gain on Sale, Exchange or Other Taxable Disposition of Our Class A Common Stock" below).</w:t>
      </w:r>
    </w:p>
    <w:p>
      <w:pPr>
        <w:spacing w:after="0" w:line="172"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Non-U.S. Holder who claims the benefit of an applicable income tax treaty generally will be required to satisfy certain certification and other requirements prior to the distribution date. Such Non-U.S. Holders must generally provide us and/or our paying agent, as applicable, with a properly executed IRS Form W-8BEN or IRS Form W-8BEN-E (or other appropriate form) claiming an exemption from or reduction in withholding under an applicable income tax treaty. Such certificate must be provided before the payment of dividends and must be updated periodically. If a Non-U.S. Holder holds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intermediaries. If tax is withheld in an amount in excess of the amount applicable under an income tax treaty, a refund of the excess amount may generally be obtained by a Non-U.S. Holder by timely filing an appropriate claim for refund with the IRS. Non-U.S. Holders should consult their tax advisors regarding their entitlement to benefits under an applicable income tax treaty.</w:t>
      </w:r>
    </w:p>
    <w:p>
      <w:pPr>
        <w:spacing w:after="0" w:line="39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U.S. trade or business (and, if required by an applicable income tax treaty, attributable to a U.S. permanent establishment or U.S. fixed base of the Non-U.S. Holder) generally will not be subject to U.S. federal withholding tax if the Non-U.S. Holder files the required forms, including IRS Form W-8ECI, with us and/or our paying agent, as applicable, but instead generally will be subject to U.S. federal income tax on a net income basis at regular graduated rates in the same manner as if the Non-U.S. Holder were a resident of the United States. This certification must be provided before dividends on our Class A common stock are paid and must be updated periodically. A corporate Non-U.S. Holder that receives effectively connected dividends may be subject to an additional branch profits tax at a rate of 30%, or a lower rate prescribed by an applicable income tax treaty.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Class A Common Stock</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general, subject to the discussion below under the headings "Information Reporting and Backup Withholding" and "Foreign Accounts," a Non-U.S. Holder will not be subject to U.S. federal income tax or withholding tax on any gain realized upon such holder's sale, exchange or other disposition of shares of our Class A common stock unless:</w:t>
      </w:r>
    </w:p>
    <w:p>
      <w:pPr>
        <w:spacing w:after="0" w:line="208" w:lineRule="exact"/>
        <w:rPr>
          <w:sz w:val="20"/>
          <w:szCs w:val="20"/>
          <w:color w:val="auto"/>
        </w:rPr>
      </w:pPr>
    </w:p>
    <w:p>
      <w:pPr>
        <w:ind w:left="1080" w:right="50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attributable to a U.S. permanent establishment or U.S. fixed base of the Non-U.S. Holder);</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99"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the Class A common stock, and, in the case where shares of our Class A common stock are regularly traded on an established securities market, the Non-U.S. Holder owns or is treated as owning (directly, indirectly or constructively) more than 5% of our Class A common stock at any time during the foregoing period.</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gain realized by a Non-U.S. Holder described in clause (1) above generally will be subject to U.S. federal income tax in the same manner as if the Non-U.S. Holder were a resident of the United States. Any gains of a corporate Non-U.S. Holder described in clause (1) above may also be subject to an additional "branch profits tax" at a 30% rate, or such lower rate as may be specified by an applicable income tax treaty.</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Gain realized by an individual Non-U.S. Holder described in clause (2) above will be subject to a flat 30% tax, or such lower rate specified in an applicable income tax treaty, which gain may be offset by U.S. source capital losses, even though the individual is not considered a resident of the United States.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For purposes of clause (3) above, a corporation is a United States real property holding corporation, or USRPHC, if the fair market value of its United States real property interests equals or exceeds 50% of the sum of the fair market value of its United States real property interests, the fair market value of its worldwide real property interests plus its other assets used or held for use in a trade or business. We believe that we are not, and we do not anticipate that we will become,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became a USRPHC, a Non-U.S. Holder would not be subject to U.S. federal income tax on a sale, exchange or other taxable disposition of our Class A common stock by reason of our status as a USRPHC so long as our Class A common stock is regularly traded on an established securities market (within the meaning of the applicable regulations) and such Non-U.S. Holder does not own and is not deemed to own (directly, indirectly or constructively) more than 5% of our outstanding Class A common stock at any time during the shorter of the five-year period ending on the date of disposition and such holder's holding period. However, no assurance can be provided that our Class A common stock will be regularly traded on an established securities market for purposes of the rules described above. If we are a USRPHC and either our Class A common stock is not regularly traded on an established securities market or a Non-U.S. Holder holds or is deemed to hold (directly, indirectly or constructively) more than 5% of our outstanding Class A common stock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are a USRPHC and our common stock is not regularly traded on an established securities market, a Non-U.S. Holder's proceeds received on the disposition of shares will also generally be subject to withholding at a rate of 15%. Prospective investors are encouraged to consult their own tax advisors regarding the possible consequences to them if we are, or were to become, a USRPHC.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Dividends paid to a Non-U.S. Holder that is not an exempt recipient generally will be subject to backup withholding, currently at a rate of 28%, unless the Non-U.S. Holder certifies to the payor as to its foreign status, which certification may generally be made on an applicable IRS Form W-8.</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Proceeds from the sale or other disposition of Class A common stock by a Non-U.S. Holder effected by or through a U.S. office of a broker will generally be subject to information reporting and backup withholding, currently at a rate of 28%,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 with the United States unless the broker has documentary evidence in its records that the beneficial owner thereof is a Non-U.S. Holder and specified conditions are met or an exemption is otherwise established.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Class A common stock if paid to a foreign entity unless (1) if the foreign entity is a "foreign financial institution," the foreign entity undertakes certain due diligence, reporting, withholding, and certification obligations, (2) if the foreign entity is a "non-financial foreign entity," the foreign entity identifies certain direct and indirect U.S. holders of debt or equity interests in such foreign entity or certifies that there are none or (3) the foreign entity is otherwise exempt from FATCA.</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Withholding under FATCA generally (1) applies to payments of dividends on our Class A common stock and (2) will apply to payments of gross proceeds from a sale or other disposition of our Class A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Class A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&amp; Co. LLC and Barclays Capital Inc. are acting as representatives, have severally agreed to purchase, and we and the selling stockholders have agreed to sell to them, severally, the number of shares indicated below:</w:t>
      </w:r>
    </w:p>
    <w:p>
      <w:pPr>
        <w:spacing w:after="0" w:line="156" w:lineRule="exact"/>
        <w:rPr>
          <w:sz w:val="20"/>
          <w:szCs w:val="20"/>
          <w:color w:val="auto"/>
        </w:rPr>
      </w:pPr>
    </w:p>
    <w:p>
      <w:pPr>
        <w:ind w:left="1720"/>
        <w:spacing w:after="0"/>
        <w:tabs>
          <w:tab w:leader="none" w:pos="8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0</wp:posOffset>
            </wp:positionV>
            <wp:extent cx="7372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10795</wp:posOffset>
            </wp:positionV>
            <wp:extent cx="7372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27940</wp:posOffset>
            </wp:positionV>
            <wp:extent cx="7372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 of non-defaulting underwriters may be increased or the offering terminated.</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to additional shares of Class A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40" w:type="dxa"/>
            <w:vAlign w:val="bottom"/>
            <w:gridSpan w:val="6"/>
          </w:tcPr>
          <w:p>
            <w:pPr>
              <w:spacing w:after="0"/>
              <w:rPr>
                <w:sz w:val="20"/>
                <w:szCs w:val="20"/>
                <w:color w:val="auto"/>
              </w:rPr>
            </w:pPr>
            <w:r>
              <w:rPr>
                <w:rFonts w:ascii="Arial" w:cs="Arial" w:eastAsia="Arial" w:hAnsi="Arial"/>
                <w:sz w:val="18"/>
                <w:szCs w:val="18"/>
                <w:color w:val="auto"/>
                <w:w w:val="88"/>
              </w:rPr>
              <w:t>shown assuming both no exercise and full exercise of the underwriters' option to purchase up to an additional</w:t>
            </w:r>
          </w:p>
        </w:tc>
        <w:tc>
          <w:tcPr>
            <w:tcW w:w="80" w:type="dxa"/>
            <w:vAlign w:val="bottom"/>
          </w:tcPr>
          <w:p>
            <w:pPr>
              <w:spacing w:after="0"/>
              <w:rPr>
                <w:sz w:val="24"/>
                <w:szCs w:val="24"/>
                <w:color w:val="auto"/>
              </w:rPr>
            </w:pPr>
          </w:p>
        </w:tc>
        <w:tc>
          <w:tcPr>
            <w:tcW w:w="3400" w:type="dxa"/>
            <w:vAlign w:val="bottom"/>
            <w:gridSpan w:val="7"/>
          </w:tcPr>
          <w:p>
            <w:pPr>
              <w:ind w:left="380"/>
              <w:spacing w:after="0"/>
              <w:rPr>
                <w:sz w:val="20"/>
                <w:szCs w:val="20"/>
                <w:color w:val="auto"/>
              </w:rPr>
            </w:pPr>
            <w:r>
              <w:rPr>
                <w:rFonts w:ascii="Arial" w:cs="Arial" w:eastAsia="Arial" w:hAnsi="Arial"/>
                <w:sz w:val="18"/>
                <w:szCs w:val="18"/>
                <w:color w:val="auto"/>
              </w:rPr>
              <w:t>shares of Class A common stock.</w:t>
            </w: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Per Share</w:t>
            </w:r>
          </w:p>
        </w:tc>
        <w:tc>
          <w:tcPr>
            <w:tcW w:w="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No Exercise</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Full Exercise</w:t>
            </w:r>
          </w:p>
        </w:tc>
        <w:tc>
          <w:tcPr>
            <w:tcW w:w="1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 selling stockholders</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Proceeds, before expenses, to selling stockholders</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600" w:type="dxa"/>
            <w:vAlign w:val="bottom"/>
            <w:gridSpan w:val="11"/>
          </w:tcPr>
          <w:p>
            <w:pPr>
              <w:ind w:left="36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w w:val="87"/>
              </w:rPr>
              <w:t>. We have agreed to</w:t>
            </w:r>
          </w:p>
        </w:tc>
        <w:tc>
          <w:tcPr>
            <w:tcW w:w="0" w:type="dxa"/>
            <w:vAlign w:val="bottom"/>
          </w:tcPr>
          <w:p>
            <w:pPr>
              <w:spacing w:after="0"/>
              <w:rPr>
                <w:sz w:val="1"/>
                <w:szCs w:val="1"/>
                <w:color w:val="auto"/>
              </w:rPr>
            </w:pPr>
          </w:p>
        </w:tc>
      </w:tr>
      <w:tr>
        <w:trPr>
          <w:trHeight w:val="216"/>
        </w:trPr>
        <w:tc>
          <w:tcPr>
            <w:tcW w:w="9600" w:type="dxa"/>
            <w:vAlign w:val="bottom"/>
            <w:gridSpan w:val="11"/>
          </w:tcPr>
          <w:p>
            <w:pPr>
              <w:spacing w:after="0"/>
              <w:rPr>
                <w:sz w:val="20"/>
                <w:szCs w:val="20"/>
                <w:color w:val="auto"/>
              </w:rPr>
            </w:pPr>
            <w:r>
              <w:rPr>
                <w:rFonts w:ascii="Arial" w:cs="Arial" w:eastAsia="Arial" w:hAnsi="Arial"/>
                <w:sz w:val="18"/>
                <w:szCs w:val="18"/>
                <w:color w:val="auto"/>
                <w:w w:val="91"/>
              </w:rPr>
              <w:t>reimburse the underwriters for expenses relating to clearance of this offering with the Financial Industry Regulatory Authority up to $</w:t>
            </w:r>
          </w:p>
        </w:tc>
        <w:tc>
          <w:tcPr>
            <w:tcW w:w="1620" w:type="dxa"/>
            <w:vAlign w:val="bottom"/>
            <w:gridSpan w:val="3"/>
          </w:tcPr>
          <w:p>
            <w:pPr>
              <w:ind w:left="340"/>
              <w:spacing w:after="0"/>
              <w:rPr>
                <w:sz w:val="20"/>
                <w:szCs w:val="20"/>
                <w:color w:val="auto"/>
              </w:rPr>
            </w:pPr>
            <w:r>
              <w:rPr>
                <w:rFonts w:ascii="Arial" w:cs="Arial" w:eastAsia="Arial" w:hAnsi="Arial"/>
                <w:sz w:val="18"/>
                <w:szCs w:val="18"/>
                <w:color w:val="auto"/>
                <w:w w:val="86"/>
              </w:rPr>
              <w:t>. The underwriters</w:t>
            </w:r>
          </w:p>
        </w:tc>
        <w:tc>
          <w:tcPr>
            <w:tcW w:w="0" w:type="dxa"/>
            <w:vAlign w:val="bottom"/>
          </w:tcPr>
          <w:p>
            <w:pPr>
              <w:spacing w:after="0"/>
              <w:rPr>
                <w:sz w:val="1"/>
                <w:szCs w:val="1"/>
                <w:color w:val="auto"/>
              </w:rPr>
            </w:pPr>
          </w:p>
        </w:tc>
      </w:tr>
      <w:tr>
        <w:trPr>
          <w:trHeight w:val="222"/>
        </w:trPr>
        <w:tc>
          <w:tcPr>
            <w:tcW w:w="7740" w:type="dxa"/>
            <w:vAlign w:val="bottom"/>
            <w:gridSpan w:val="6"/>
          </w:tcPr>
          <w:p>
            <w:pPr>
              <w:spacing w:after="0"/>
              <w:rPr>
                <w:sz w:val="20"/>
                <w:szCs w:val="20"/>
                <w:color w:val="auto"/>
              </w:rPr>
            </w:pPr>
            <w:r>
              <w:rPr>
                <w:rFonts w:ascii="Arial" w:cs="Arial" w:eastAsia="Arial" w:hAnsi="Arial"/>
                <w:sz w:val="18"/>
                <w:szCs w:val="18"/>
                <w:color w:val="auto"/>
              </w:rPr>
              <w:t>have agreed to reimburse us for certain expenses incurred by us in connection with this offering.</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86"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our directors and officers, and the holders of substantially all of our capital stock and securities convertible into our capital stock, including all of the selling stockholders, have agreed that, without the prior written consent of Morgan Stanley &amp; Co. LLC, Goldman Sachs &amp; Co. LLC and Barclays Capital Inc. on behalf of the underwriters, we and they will not, during the period ending 180 days after the date of this prospectus (the "restricted period"):</w:t>
      </w:r>
    </w:p>
    <w:p>
      <w:pPr>
        <w:spacing w:after="0" w:line="174" w:lineRule="exact"/>
        <w:rPr>
          <w:sz w:val="20"/>
          <w:szCs w:val="20"/>
          <w:color w:val="auto"/>
        </w:rPr>
      </w:pPr>
    </w:p>
    <w:p>
      <w:pPr>
        <w:ind w:left="10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Goldman Sachs &amp; Co. LLC and Barclays Capital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of which the underwriters have been advised in writing; provided that no public reports or filings reporting the transaction shall be required or shall be voluntarily made in respect of the issuance during the first 30 days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56" w:lineRule="auto"/>
        <w:rPr>
          <w:sz w:val="20"/>
          <w:szCs w:val="20"/>
          <w:color w:val="auto"/>
        </w:rPr>
      </w:pPr>
      <w:r>
        <w:rPr>
          <w:rFonts w:ascii="Arial" w:cs="Arial" w:eastAsia="Arial" w:hAnsi="Arial"/>
          <w:sz w:val="18"/>
          <w:szCs w:val="18"/>
          <w:color w:val="auto"/>
        </w:rPr>
        <w:t>of the restricted period and for any issuance thereafter any public reports or filings reporting the transaction that shall be required or shall be voluntarily made in respect of the issuance during the remainder of the restricted period shall include an appropriate footnote clearly indicating that the filing relates to the exercise of a stock option, that no shares were sold by the reporting person and that the shares received upon exercise of the stock option are subject to a lock-up;</w:t>
      </w:r>
    </w:p>
    <w:p>
      <w:pPr>
        <w:spacing w:after="0" w:line="211" w:lineRule="exact"/>
        <w:rPr>
          <w:sz w:val="20"/>
          <w:szCs w:val="20"/>
          <w:color w:val="auto"/>
        </w:rPr>
      </w:pPr>
    </w:p>
    <w:p>
      <w:pPr>
        <w:ind w:left="1080" w:hanging="532"/>
        <w:spacing w:after="0" w:line="294"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approval of by us or the establishment of trading plans by our stockholders pursuant to Rule 10b5-1 under the Exchange Act, for the transfer of shares of common stock by our stockholders; provided that such plan does not provide for the transfer of common stock during the restricted period and to the extent a public announcement or filing under the Exchange Act, if any, is required of or voluntarily made by or on behalf of the holder or us regarding the establishment of such plan, such announcement or filing shall include a statement to the effect that no transfer of common stock may be made under such plan during the restricted period;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transfers as bona fide gifts or to a trust;</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transfers to current or former partners (general or limited), members or managers of one of our stockholders or to the estates of one of our stockholders or their affiliates, partners, members or managers;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transfers pursuant to qualified domestic orders or in connection with divorce settlements;</w:t>
      </w:r>
    </w:p>
    <w:p>
      <w:pPr>
        <w:spacing w:after="0" w:line="25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transactions by any person other than us relating to shares of common stock or other securities acquired in open market transactions after the completion of the offering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as amended, or the Exchange Act, is required or voluntarily made in connection with subsequent sales of the common stock or other securities acquired in such open market transactions; or</w:t>
      </w:r>
    </w:p>
    <w:p>
      <w:pPr>
        <w:spacing w:after="0" w:line="210"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conversion of outstanding shares of our redeemable convertible preferred stock into shares of our Class B common stock or conversion of shares of our Class B common stock into shares of our Class A common stock.</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Morgan Stanley &amp; Co. LLC, Goldman Sachs &amp; Co. LLC and Barclays Capital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 Act.</w:t>
      </w:r>
    </w:p>
    <w:p>
      <w:pPr>
        <w:spacing w:after="0" w:line="24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the information set forth in this prospectus and otherwise available to the representatives, our future prospects and those of our industry in general, assessment of our management, conditions of the securities markets at the time of this offering,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140" w:hanging="532"/>
        <w:spacing w:after="0" w:line="256"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Sonsini Goodrich &amp; Rosati, P.C., New York, New York, is representing the underwriters in connection with this offering.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consolidated financial statements as of January 31, 2016 and 2017 and for each of the two years in the period ended January 31, 2017 included in this prospectus have been so included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being offered by this prospectus, which constitutes a part of the registration statement. This prospectus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8"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Upon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www.mongodb.com, at which you may access these materials free of charge as soon as reasonably practicable after they are electronically filed with, or furnished to, the SEC. </w:t>
      </w:r>
      <w:r>
        <w:rPr>
          <w:rFonts w:ascii="Arial" w:cs="Arial" w:eastAsia="Arial" w:hAnsi="Arial"/>
          <w:sz w:val="16"/>
          <w:szCs w:val="16"/>
          <w:b w:val="1"/>
          <w:bCs w:val="1"/>
          <w:color w:val="auto"/>
        </w:rPr>
        <w:t>However, the information contained in or accessible</w:t>
      </w:r>
      <w:r>
        <w:rPr>
          <w:rFonts w:ascii="Arial" w:cs="Arial" w:eastAsia="Arial" w:hAnsi="Arial"/>
          <w:sz w:val="16"/>
          <w:szCs w:val="16"/>
          <w:color w:val="auto"/>
        </w:rPr>
        <w:t xml:space="preserve"> </w:t>
      </w:r>
      <w:r>
        <w:rPr>
          <w:rFonts w:ascii="Arial" w:cs="Arial" w:eastAsia="Arial" w:hAnsi="Arial"/>
          <w:sz w:val="16"/>
          <w:szCs w:val="16"/>
          <w:b w:val="1"/>
          <w:bCs w:val="1"/>
          <w:color w:val="auto"/>
        </w:rPr>
        <w:t>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98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7"/>
              </w:rPr>
              <w:t>MONGODB, INC. AND SUBSIDIARIES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0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9"/>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F-2</w:t>
              </w:r>
            </w:hyperlink>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Balance Sheets</w:t>
              </w:r>
            </w:hyperlink>
          </w:p>
        </w:tc>
        <w:tc>
          <w:tcPr>
            <w:tcW w:w="4620" w:type="dxa"/>
            <w:vAlign w:val="bottom"/>
            <w:gridSpan w:val="2"/>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61">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Consolidated Statements of Operations</w:t>
              </w:r>
            </w:hyperlink>
          </w:p>
        </w:tc>
        <w:tc>
          <w:tcPr>
            <w:tcW w:w="5980" w:type="dxa"/>
            <w:vAlign w:val="bottom"/>
            <w:gridSpan w:val="6"/>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62">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Comprehensive Loss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Redeemable Convertible Preferred Stock and Stockholders' Deficit</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F-6</w:t>
              </w:r>
            </w:hyperlink>
          </w:p>
        </w:tc>
      </w:tr>
      <w:tr>
        <w:trPr>
          <w:trHeight w:val="196"/>
        </w:trPr>
        <w:tc>
          <w:tcPr>
            <w:tcW w:w="1140" w:type="dxa"/>
            <w:vAlign w:val="bottom"/>
          </w:tcPr>
          <w:p>
            <w:pPr>
              <w:spacing w:after="0"/>
              <w:rPr>
                <w:sz w:val="17"/>
                <w:szCs w:val="17"/>
                <w:color w:val="auto"/>
              </w:rPr>
            </w:pPr>
          </w:p>
        </w:tc>
        <w:tc>
          <w:tcPr>
            <w:tcW w:w="6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Consolidated Statements of Cash Flows</w:t>
              </w:r>
            </w:hyperlink>
          </w:p>
        </w:tc>
        <w:tc>
          <w:tcPr>
            <w:tcW w:w="206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65">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2"/>
          </w:tcPr>
          <w:p>
            <w:pPr>
              <w:jc w:val="center"/>
              <w:ind w:right="37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loss, redeemable convertible preferred stock and stockholders' deficit, and cash flows present fairly, in all material respects, the financial position of MongoDB, Inc. and its subsidiaries as of January 31, 2016 and January 31, 2017, and the results of their operations and their cash flows for the years then ended in conformity with accounting principles generally accepted in the United States of America. These financial statements are the responsibility of MongoDB, Inc.'s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7, 2017</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July 31,</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69,305</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79,954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47,195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51,682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Accounts receivable, net of allowance for doubtful accounts of $669, $958 and $1,167 as of</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January 31, 2016 and 2017 and July 31, 2017 (unaudited)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31,340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32,661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rPr>
              <w:t>Deferred commissions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ind w:left="24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144,027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158,452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139,593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intangible assets, net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157,916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8"/>
              </w:rPr>
              <w:t>Liabilities, Redeemable Convertible Preferred Stock and Stockholders' (Deficit) Equity</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10,895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accrued liabilities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110,246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Redeemable convertible preferred stock warrant liability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non-current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Deferred tax liability, non-current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non-current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115,689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(Note 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40" w:type="dxa"/>
            <w:vAlign w:val="bottom"/>
          </w:tcPr>
          <w:p>
            <w:pPr>
              <w:spacing w:after="0" w:line="138" w:lineRule="exact"/>
              <w:rPr>
                <w:sz w:val="20"/>
                <w:szCs w:val="20"/>
                <w:color w:val="auto"/>
              </w:rPr>
            </w:pPr>
            <w:r>
              <w:rPr>
                <w:rFonts w:ascii="Arial" w:cs="Arial" w:eastAsia="Arial" w:hAnsi="Arial"/>
                <w:sz w:val="14"/>
                <w:szCs w:val="14"/>
                <w:color w:val="auto"/>
                <w:w w:val="91"/>
              </w:rPr>
              <w:t>Redeemable convertible preferred stock—par value $0.001 per share; 40,337,939, 41,234,841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w w:val="93"/>
              </w:rPr>
              <w:t>41,234,841 shares authorized as of January 31, 2016 and 2017 and July 31, 2017 (unaudited);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w w:val="90"/>
              </w:rPr>
              <w:t>39,055,497, 41,148,282 and 41,232,762 shares issued and outstanding with aggregate liquidation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w w:val="91"/>
              </w:rPr>
              <w:t>preference of $310,997, $345,997 and $347,207 as of January 31, 2016, 2017, and July 31, 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310,315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346,428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40" w:type="dxa"/>
            <w:vAlign w:val="bottom"/>
          </w:tcPr>
          <w:p>
            <w:pPr>
              <w:ind w:left="120"/>
              <w:spacing w:after="0" w:line="138" w:lineRule="exact"/>
              <w:rPr>
                <w:sz w:val="20"/>
                <w:szCs w:val="20"/>
                <w:color w:val="auto"/>
              </w:rPr>
            </w:pPr>
            <w:r>
              <w:rPr>
                <w:rFonts w:ascii="Arial" w:cs="Arial" w:eastAsia="Arial" w:hAnsi="Arial"/>
                <w:sz w:val="14"/>
                <w:szCs w:val="14"/>
                <w:color w:val="auto"/>
                <w:w w:val="92"/>
              </w:rPr>
              <w:t>Class A common stock, par value of $0.001 per share; no, 162,500,000 and 162,500,000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240"/>
              <w:spacing w:after="0" w:line="149" w:lineRule="exact"/>
              <w:rPr>
                <w:sz w:val="20"/>
                <w:szCs w:val="20"/>
                <w:color w:val="auto"/>
              </w:rPr>
            </w:pPr>
            <w:r>
              <w:rPr>
                <w:rFonts w:ascii="Arial" w:cs="Arial" w:eastAsia="Arial" w:hAnsi="Arial"/>
                <w:sz w:val="14"/>
                <w:szCs w:val="14"/>
                <w:color w:val="auto"/>
                <w:w w:val="90"/>
              </w:rPr>
              <w:t>authorized as of January 31, 2016 and 2017 and July 31, 2017 (unaudited); no, no and 136,400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240"/>
              <w:spacing w:after="0" w:line="149" w:lineRule="exact"/>
              <w:rPr>
                <w:sz w:val="20"/>
                <w:szCs w:val="20"/>
                <w:color w:val="auto"/>
              </w:rPr>
            </w:pPr>
            <w:r>
              <w:rPr>
                <w:rFonts w:ascii="Arial" w:cs="Arial" w:eastAsia="Arial" w:hAnsi="Arial"/>
                <w:sz w:val="14"/>
                <w:szCs w:val="14"/>
                <w:color w:val="auto"/>
                <w:w w:val="94"/>
              </w:rPr>
              <w:t>shares issued and outstanding as of January 31, 2016, 2017 and July 31, 2017 (unaudited);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tcPr>
          <w:p>
            <w:pPr>
              <w:ind w:left="240"/>
              <w:spacing w:after="0" w:line="159" w:lineRule="exact"/>
              <w:rPr>
                <w:sz w:val="20"/>
                <w:szCs w:val="20"/>
                <w:color w:val="auto"/>
              </w:rPr>
            </w:pPr>
            <w:r>
              <w:rPr>
                <w:rFonts w:ascii="Arial" w:cs="Arial" w:eastAsia="Arial" w:hAnsi="Arial"/>
                <w:sz w:val="14"/>
                <w:szCs w:val="14"/>
                <w:color w:val="auto"/>
              </w:rPr>
              <w:t>136,400 issued and outstanding, pro forma, as of July 31, 2017 (unaudited)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9"/>
              </w:rPr>
              <w:t>Class B common stock, par value of $0.001 per share; 110,000,000, 113,000,000 and 113,000,000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shares authorized as of January 31, 2016, 2017 and July 31, 2017 (unaudited); 23,330,430,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26,386,208 and 28,093,469 shares issued as of January 31, 2016, 2017 and July 31, 2017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(unaudited); 23,131,688, 26,187,466 and 27,894,727 shares outstanding as of January 31, 2016,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7"/>
              </w:rPr>
              <w:t>2017 and July 31, 2017 (unaudited); 81,999,264 shares issued and 81,800,522 shares outstanding,</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pro forma, as of July 31, 2017 (unaudited)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32,411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62,544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422,880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Treasury stock, 198,742 shares as of January 31, 2016, 2017 and July 31, 2017 (unaudited)</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(259,269)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(347,401)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(393,170)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(393,170)</w:t>
            </w: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(228,505)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(286,514)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(318,197)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28,232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40,213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cost of revenue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Net loss per share attributable to common stockholders,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8"/>
              </w:rPr>
              <w:t>Weighted-average shares used to compute net loss per share</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5"/>
              </w:rPr>
              <w:t>attributable to common stockholders, basic and diluted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23,526,487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26,772,495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net loss per share attributable to common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 (unaudited)</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pro forma net loss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0"/>
              </w:rPr>
              <w:t>per share attributable to common stockholders, basic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 (unaudited)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80,592,714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17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89"/>
              </w:rPr>
              <w:t>July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6"/>
          </w:tcPr>
          <w:p>
            <w:pPr>
              <w:jc w:val="center"/>
              <w:ind w:right="238"/>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(86,681)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(45,326)</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(45,769)</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(86,694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(45,250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(45,646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2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Class A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80" w:type="dxa"/>
            <w:vAlign w:val="bottom"/>
            <w:tcBorders>
              <w:bottom w:val="single" w:sz="8" w:color="auto"/>
            </w:tcBorders>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Borders>
              <w:bottom w:val="single" w:sz="8" w:color="auto"/>
            </w:tcBorders>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Treasury</w:t>
            </w:r>
          </w:p>
        </w:tc>
        <w:tc>
          <w:tcPr>
            <w:tcW w:w="9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Amount</w:t>
            </w:r>
          </w:p>
        </w:tc>
        <w:tc>
          <w:tcPr>
            <w:tcW w:w="3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22,003,676</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(185,783)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1,158,830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(30,818)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6"/>
              </w:rPr>
              <w:t>Unrealized loss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23,131,688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(259,269)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Cumulative effect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accounting change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Proceeds from Series 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financing, net of issuance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 of $58</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2,092,785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34,942</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3,068,490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26,187,466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(347,401)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(286,514)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Exercise of preferred stock</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warrants (unaudited)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84,480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1,171</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Stock option exercises</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1,864,381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stock options (unaudited)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(20,720)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9,371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9,371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for-sale securities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adjustment (unaudited)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160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(unaudited)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(45,769)</w:t>
            </w:r>
          </w:p>
        </w:tc>
        <w:tc>
          <w:tcPr>
            <w:tcW w:w="0" w:type="dxa"/>
            <w:vAlign w:val="bottom"/>
          </w:tcPr>
          <w:p>
            <w:pPr>
              <w:spacing w:after="0"/>
              <w:rPr>
                <w:sz w:val="1"/>
                <w:szCs w:val="1"/>
                <w:color w:val="auto"/>
              </w:rPr>
            </w:pPr>
          </w:p>
        </w:tc>
      </w:tr>
      <w:tr>
        <w:trPr>
          <w:trHeight w:val="129"/>
        </w:trPr>
        <w:tc>
          <w:tcPr>
            <w:tcW w:w="1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7"/>
              </w:rPr>
              <w:t>Balances as of July 31, 2017</w:t>
            </w: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ind w:left="10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41,232,762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346,428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28,031,127</w:t>
            </w:r>
          </w:p>
        </w:tc>
        <w:tc>
          <w:tcPr>
            <w:tcW w:w="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76,505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(241)</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(393,170) $</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(318,197)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left="355"/>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(73,486)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(86,681)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(45,326)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(38,078)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(117,954)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(80,422)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w w:val="94"/>
              </w:rPr>
              <w:t>Proceeds from exercise of stock options, including early exercised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early exercised stock options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Proceeds from issuance of Series F financing, net of issuance cost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Proceeds from exercise of redeemable convertible preferred stock warrants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Payment of offering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7"/>
              </w:rPr>
              <w:t>Effect of exchange rate changes on cash, cash equivalents, and restricted cash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(decrease) increase in cash, cash equivalents, and restricted cash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(124,388)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157,701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27,581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14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w w:val="97"/>
              </w:rPr>
              <w:t>Issuance of Series F redeemable convertible preferred stock warrants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Vesting of early exercised stock options</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140"/>
              <w:spacing w:after="0"/>
              <w:rPr>
                <w:sz w:val="20"/>
                <w:szCs w:val="20"/>
                <w:color w:val="auto"/>
              </w:rPr>
            </w:pPr>
            <w:r>
              <w:rPr>
                <w:rFonts w:ascii="Arial" w:cs="Arial" w:eastAsia="Arial" w:hAnsi="Arial"/>
                <w:sz w:val="18"/>
                <w:szCs w:val="18"/>
                <w:color w:val="auto"/>
                <w:w w:val="96"/>
              </w:rPr>
              <w:t>Costs related to initial public offering included in accounts payable and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4"/>
              </w:rPr>
              <w:t>Conversion of redeemable convertible preferred stock warrant liability to</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redeemable convertible preferred stock as a result of warrant exercise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MongoDB, Inc. was originally incorporated in the state of Delaware on November 2007 under the name 10Gen, Inc. In August 2013 we changed our name to MongoDB, Inc. We are headquartered in New York, New York. We develop and sell subscriptions to a modern, general purpose database platform that was built to run applications at scale across a broad range of use cases in the cloud, on-premise or in a hybrid environment. We designed our platform to address the performance, scalability, flexibility and reliability demands of modern applications while maintaining the core capabilities of legacy databases. In addition to selling our software, we provide post-contract support, training, and consulting services for our offerings. The terms "MongoDB," "Company," "our," "us," and "we" in these notes to the consolidated financial statements refer to MongoDB, Inc. and, where appropriate, our consolidated subsidiaries. Our fiscal year ends January 31.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consolidated financial statements are prepared in accordance with accounting principles generally accepted in the United States of America, or U.S. GAAP, and include the accounts of the Company and its wholly owned subsidiaries. All intercompany transactions and accounts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accompanying interim consolidated balance sheet as of July 31, 2017, the interim consolidated statements of operations, of comprehensive loss and of cash flows for the six months ended July 31, 2016 and 2017 and the interim consolidated statement of redeemable convertible preferred stock and stockholders' equity (deficit) for the six months ended July 31, 2017 are unaudited. The unaudited interim consolidated financial statements have been prepared on a basis consistent with the annual consolidated financial statements and, in the opinion of management, reflect all adjustments, which include only normal recurring adjustments, necessary to state fairly our financial position as of July 31, 2017 and its results of operations and cash flows for the six months ended July 31, 2016 and 2017. The financial data and the other financial information disclosed in the notes to these consolidated financial statements related to the six-month periods are also unaudited. The results of operations for the six months ended July 31, 2017 are not necessarily indicative of the results to be expected for the fiscal year ending January 31, 2018 or for any other future year or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We base these estimates on historical and anticipated results, trends and various other assumptions that we believe are reasonable under the circumstances, including assumptions as to future events. Actual results could differ from those estimates.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preparation of the consolidated financial statements as of and for the year ended January 31, 2017, we identified an immaterial error related to the presentation of contractual payments in our consolidated statements of cash flows for the year ended January 31, 2016. We evaluated the impact and concluded that it was not material to our 2016 consolidated financial statements and corrected the presentation, resulting in an increase in net cash used in operating activities from $43.4 million to $47.0 million and an associated increase in net cash provided by financing activities from $(0.5) million to $3.1 million. The adjustment had no impact on the net change in cash, cash equivalents and restricted cash in our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All currently outstanding shares of redeemable convertible preferred stock will automatically convert into shares of our Class B common stock and warrants to purchase shares of redeemable convertible preferred stock will expire upon the closing of a qualifying initial public offering, or IPO (see Note 8). The unaudited pro forma stockholder's equity shows the effect of the automatic conversion of the redeemable convertible preferred stock into common stock and the expiration of the redeemable convertible preferred stock warrants as of July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unaudited pro forma net loss per share attributable to common stockholders basic and diluted has been computed to give effect to the assumed automatic conversion of redeemable convertible preferred stock into shares of our Class B common stock using the if converted method and the elimination of the revaluation adjustment for the redeemable convertible preferred stock warrant liability due to the expiration of those warrants upon the completion of a qualifying IPO as though such qualifying IPO had occurred as of the beginning of the period or the date of issuance, if later.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functional currency of our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we use the period-end exchange rates to translate assets and liabilities, and the average exchange rates to translate revenue and expenses into U.S. dollars. We record translation gains and losses in accumulated other comprehensive income (loss) as a component of stockholders' deficit.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Our comprehensive loss includes net loss and unrealized gains and losses on available-for-sale securities and foreign currency translation adjustments.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consider all highly liquid investments, including money market funds with an original maturity of three months or less at the date of purchase,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short-term investments consist of U.S. government treasury securities and money market instruments. We determine the appropriate classification of our short-term investments at the time of purchase and reevaluate such designation at each balance sheet date. We have classified and accounted for our short-term investments as available-for-sale securities as we may sell these securities at any time for use in our current operations or for other purposes, even prior to maturity. As a result, we classify our short-term investments within current assets on the consolidated balance sheets.</w:t>
      </w:r>
    </w:p>
    <w:p>
      <w:pPr>
        <w:spacing w:after="0" w:line="167"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We periodically evaluate our short-term investments to assess whether those with unrealized loss positions are other than temporarily impaired. We consider various factors in determining whether to recognize an impairment charge. Realized gains and losses are determined based on the specific identification method and are reported in interest income in the consolidated statements of operations. If we determine that the decline in an investment's fair value is other-than-temporary, the difference is recognized as an impairment loss in the consolidated statements of operations. As of January 31, 2017 and July 31, 2017 (unaudited), we have not recorded any other-than-temporary-impairment in our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pledged $0.1 million, $0.1 million and $0.5 million of collateral for our available credit on corporate credit cards as of January 31, 2016 and 2017 and July 31, 2017 (unaudited), respectively. Restricted cash balances are included in other assets on the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financial instruments consists of cash equivalents, other short-term investments, accounts receivable, accounts payable, accrued liabilities and the redeemable convertible preferred stock warrant liability. Cash equivalents are stated at amortized cost, which approximates fair value at the balance sheet dates, due to the short period of time to maturity. Short-term investments are recorded at fair value. Accounts receivable, accounts payable and accrued liabilities are stated at their carrying value, which approximates fair value due to the short time to the expected receipt or payment date. The redeemable convertible preferred stock warrant liability is carried at fair value.</w:t>
      </w:r>
    </w:p>
    <w:p>
      <w:pPr>
        <w:spacing w:after="0" w:line="197"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short-term investments and the redeemable convertible preferred stock warrant liability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(unadjusted) in active markets for identical assets or liabilities at the measurement date.</w:t>
      </w:r>
    </w:p>
    <w:p>
      <w:pPr>
        <w:spacing w:after="0" w:line="252" w:lineRule="exact"/>
        <w:rPr>
          <w:sz w:val="20"/>
          <w:szCs w:val="20"/>
          <w:color w:val="auto"/>
        </w:rPr>
      </w:pPr>
    </w:p>
    <w:p>
      <w:pPr>
        <w:ind w:left="780" w:right="20" w:hanging="769"/>
        <w:spacing w:after="0" w:line="370" w:lineRule="auto"/>
        <w:tabs>
          <w:tab w:leader="none" w:pos="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financial instruments that are carried at fair value consist of Level 1 assets and Level 3 liabilities. Level 1 assets include highly liquid money market funds classified as cash equivalents vs. government treasury securities classified as short-term investments. Level 3 liabilities consist of the redeemable convertible preferred stock warrant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Financial instruments that potentially subject us to concentrations of credit risk are primarily cash, cash equivalents, restricted cash, short-term investments, and accounts receivable. The primary focus of our investment strategy is to preserve capital and meet liquidity requirements. We maintain our cash accounts with financial institutions where, at times, deposits exceed federal insurance limits. We invest our excess cash in highly rated money market funds in U.S. government trading securities. We extend credit to customers in the normal course of business. We perform credit analysis and monitor the financials of our customers to reduce credit risk. Trade accounts receivable are recorded at the invoiced amount and do not bear interest. We record an allowance for doubtful accounts relating to certain trade accounts receivable. The allowance is based on various factors, including the review of credit profiles of our customers, contractual terms and conditions, current economic trends and historical customer payment experience.</w:t>
      </w:r>
    </w:p>
    <w:p>
      <w:pPr>
        <w:spacing w:after="0" w:line="172"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and for the fiscal years ended January 31, 2016 and 2017 and as of July 31, 2017 and for the six months ended July 31, 2017 (unaudited), no customer represented 10% or more of net accounts receivable or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perform initial and ongoing evaluations of our customers' financial position, and generally extend credit without collateral. We determine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we no longer actively pursues collection of the receivable.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right="4680" w:hanging="332"/>
        <w:spacing w:after="0" w:line="602" w:lineRule="auto"/>
        <w:tabs>
          <w:tab w:leader="none" w:pos="174"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Operations and Summary of Significant Accounting Policies (Continued) </w:t>
      </w:r>
      <w:r>
        <w:rPr>
          <w:rFonts w:ascii="Arial" w:cs="Arial" w:eastAsia="Arial" w:hAnsi="Arial"/>
          <w:sz w:val="15"/>
          <w:szCs w:val="15"/>
          <w:color w:val="auto"/>
        </w:rPr>
        <w:t>Activity within the allowance for doubtful accounts was as follows (in thousands):</w:t>
      </w:r>
    </w:p>
    <w:tbl>
      <w:tblPr>
        <w:tblLayout w:type="fixed"/>
        <w:tblInd w:w="172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Allowance for</w:t>
            </w:r>
          </w:p>
        </w:tc>
      </w:t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Doubtful</w:t>
            </w:r>
          </w:p>
        </w:tc>
      </w:tr>
      <w:tr>
        <w:trPr>
          <w:trHeight w:val="161"/>
        </w:trPr>
        <w:tc>
          <w:tcPr>
            <w:tcW w:w="5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1"/>
              </w:rPr>
              <w:t>Accounts</w:t>
            </w:r>
          </w:p>
        </w:tc>
        <w:tc>
          <w:tcPr>
            <w:tcW w:w="16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2016</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2017</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31, 2017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Costs related to software acquired, developed, or modified solely to meet our internal requirements, with no substantive plans to market such software at the time of development, or costs related to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We did not capitalize any costs related to computer software developed for internal use or web-based product in the years ended January 31, 2016 and 2017 and the six months ended July 31, 2017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capitalize qualified legal, accounting and other direct costs related to our efforts to raise capital through a sale of our common stock in our potential IPO. Deferred offering costs are included in other assets on the consolidated balance sheets and will be deferred until the completion of the IPO, at which time they will be reclassified to additional paid-in capital as a reduction of the IPO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terminate plans for an IPO or significantly delay a potential IPO, any deferred costs will be expensed at that time. As of January 31, 2016 and 2017, we had no deferred offering costs that were capitalized. As of July 31, 2017 (unaudited), $2.8 million deferred offering costs were capitalized. During the six months ended July 31, 2017 (unaudited), $1.2 million of the deferred offering costs were paid.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Property and Equipment</w:t>
            </w:r>
          </w:p>
        </w:tc>
        <w:tc>
          <w:tcPr>
            <w:tcW w:w="2600" w:type="dxa"/>
            <w:vAlign w:val="bottom"/>
            <w:gridSpan w:val="2"/>
          </w:tcPr>
          <w:p>
            <w:pPr>
              <w:ind w:left="6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2580" w:type="dxa"/>
            <w:vAlign w:val="bottom"/>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5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Lesser of lease term or useful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evaluate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we test goodwill for impairment at least annually or more frequently if events or changes in circumstances indicate that this asset may be impaired. These tests are based on our single operating segment and reporting unit structure. No indications of impairment of goodwill were noted during the years ended January 31, 2016 and 2017 and the six months ended July 31, 2017 (unaudited).</w:t>
      </w:r>
    </w:p>
    <w:p>
      <w:pPr>
        <w:spacing w:after="0" w:line="20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Acquired amortizable intangible assets are amortized on a straight-line basis over the estimated useful lives of the assets. The estimated remaining useful lives for intangible assets range from 2.8 to 3.2 years as of January 31, 2017 and 2.3 to 2.7 years as of July 31, 2017 (unaudited).</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to the recoverability assessment, we periodically review the remaining estimated useful lives of property and equipment and amortizable intangible assets. If the estimated useful life assumption for any asset is changed, the remaining unamortized balance would be depreciated or amortized over the revised estimated useful life, on a prospective basis.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Rent expense is recognized on a straight-line basis over the non-cancelable term of the operating lease. We record the difference between cash rent payments and recognized rent expense as a deferred rent liability included in accrued liabilities and other liabilities on the consolidated balance sheets. Incentives granted under our facility leases, including allowances to fund leasehold improvements, are deferred and are recognized as adjustments to rental expense on a straight-line basis over the term of the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technical support arrangements and consumption-based hosted as-a-service offerings; and (2) services revenue comprised of consulting and training arrangements.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on a percent complete basis if sold on a stand-alone basis and over the contractual subscription period if sold as a bundled element along with our subscriptions. When services commence later than the start date of the 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subscription revenue is primarily comprised of time-based software licenses sold in conjunction with post-contract customer support, or PCS. We typically bill subscription revenue annually in advance. As our subscription offerings include a software license and PCS for which we have not established Vendor Specific Objective Evidence, or VSOE, the entire fee is recognized ratably over the term of the PCS. See "—Multiple-Element Arrangements" section below. In certain circumstances, we make software available to our customers online under hosting arrangements. The online services are currently comprised of an automated database backup storage tool, a database management automation tool and a database as-a-service tool wherein the customer can purchase storage, security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monitoring capabilities. Generally, revenue related to hosted as-a-service solutions are recognized on a usage-basis, as consideration for these arrangements are contingent upon the frequency that the licensee uses the product or on the size and speed of the required infrastructure of the hosted deployment.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services contracts are provisioned on either a time-and-materials basis, fixed-fee basis or subscription basis. Revenue is recognized on a proportional performance basis as the services are delivered for standalone time and materials contracts and for standalone fixed price contracts. As arrangements in which services are sold with subscription offerings are in essence multiple-element arrangements, all revenue in the arrangement is recognized ratably over the term of the undelivered elements assuming all other revenue recognition criteria have been met. See "—Multiple-Element Arrangements" section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MEA's, dictate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occurs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is recognized ratably over the term of the undelivered elements assuming all other revenue recognition criteria have been met and services are generally provided at the beginning or over the course of the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Cost of revenue consists primarily of costs related to providing our subscription and hosting services to our paying customers, including personnel costs, including salaries, bonuses and benefits, and stock-based compensation and related expenses for datacenter operations, customer support and services personnel, as well as depreciation of servers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 and Commissions Expense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Deferred commissions are the incremental costs that are directly associated with non-cancelable subscription contracts with customers and consist of sales commissions paid to our direct sales force. The commissions are deferred and amortized over the non-cancelable terms of the related customer contracts. Sales commissions are generally paid up front and one month in arrears, however, payment timing is based on contractual terms of the underlying subscription contract and is subject to an evaluation of customer credit-worthiness. The deferred commission amounts are recoverable through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future revenue streams under the non-cancelable customer contracts. We capitalized commission costs of $8.0 million, $14.2 million, $4.7 million and</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$5.0 million for the years ended January 31, 2016 and 2017 and the six months ended July 31, 2016 and 2017 (unaudited), respectively. Amortization of deferred commissions is included in sales and marketing expense in the consolidated statements of operations. As of January 31, 2017 and July 31, 2017 (unaudited), we recorded short-term deferred commissions of $7.5 million and $8.4 million, respectively, and long-term deferred commissions of $5.6 million and $5.0 million, respectively, in other long-term assets on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costs are expensed as incurred and consists primarily of personnel costs, including salaries, bonuses and benefits, and stock-based compensation. It also includes amortization associated with intangible acquired assets and allocated overhead.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20" w:firstLine="341"/>
        <w:spacing w:after="0" w:line="286" w:lineRule="auto"/>
        <w:rPr>
          <w:sz w:val="20"/>
          <w:szCs w:val="20"/>
          <w:color w:val="auto"/>
        </w:rPr>
      </w:pPr>
      <w:r>
        <w:rPr>
          <w:rFonts w:ascii="Arial" w:cs="Arial" w:eastAsia="Arial" w:hAnsi="Arial"/>
          <w:sz w:val="16"/>
          <w:szCs w:val="16"/>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$1.2 million, $2.4 million, $0.8 million and</w:t>
      </w:r>
    </w:p>
    <w:p>
      <w:pPr>
        <w:ind w:right="360"/>
        <w:spacing w:after="0" w:line="261" w:lineRule="auto"/>
        <w:rPr>
          <w:sz w:val="20"/>
          <w:szCs w:val="20"/>
          <w:color w:val="auto"/>
        </w:rPr>
      </w:pPr>
      <w:r>
        <w:rPr>
          <w:rFonts w:ascii="Arial" w:cs="Arial" w:eastAsia="Arial" w:hAnsi="Arial"/>
          <w:sz w:val="18"/>
          <w:szCs w:val="18"/>
          <w:color w:val="auto"/>
        </w:rPr>
        <w:t>$1.6 million for the years ended January 31, 2016 and 2017 and the six months ended July 31, 2016 and 2017 (unaudited), respectively. Advertising costs are recorded in sales and marketing expenses in the consolidated statement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redeemable convertible preferred stock warrants require liability classification and accounting as the underlying convertible preferred stock is contingently redeemable as discussed in Note 6. At initial recognition, the warrants are recorded at their estimated fair value. The warrants are subject to remeasurement at each balance sheet date, with changes in fair value recognized as a component of other income (expense), net. We will continue to adjust the warrant liability for changes in fair value until the earlier of the expiration or exercise of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Common stock warrants are measured at their estimated fair value upon issuance using the Black-Scholes pricing model and recorded in additional paid-in capital on the consolidated balance sheets. Our common stock warrants are equity classified and no subsequent remeasurement is required.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model over the service performance period.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 During the year ended January 31, 2017, we adopted Accounting Standards Update, or ASU, 2016-09 allowing the recognition of forfeitures as they occur. See "Recently Adopted Accounting Pronouncements" for the impact of the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companies with participating securities. We consider all series of redeemable convertible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Under the two-class method, basic net loss per share attributable to common stockholders is calculated by dividing the net loss by the weighted-average number of shares of common stock 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 We did not present dilutive net loss per share on an if-converted basis because the impact was not 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operate as one operating segment as we only report financial information on an aggregate and consolidated basis to our Chief Executive Officer, who is our chief operating decision maker.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We follow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we have determined that the future realization of the tax benefit is not more likely than not.</w:t>
      </w:r>
    </w:p>
    <w:p>
      <w:pPr>
        <w:spacing w:after="0" w:line="14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recognize the tax benefit from uncertain tax positions only if it is more likely than not that the tax position will be sustained on examination by the tax authorities, based on the technical merits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position. The tax benefit is measured based on the largest benefit that is more likely than not of being realized upon ultimate settlement. We recognize interest and penalties on amounts due to taxing authorities as a component of other income and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Starting February 1, 2016, we elected to early adopt ASU No. 2016-09, Compensation—Stock Compensation (Topic 718):</w:t>
      </w:r>
      <w:r>
        <w:rPr>
          <w:rFonts w:ascii="Arial" w:cs="Arial" w:eastAsia="Arial" w:hAnsi="Arial"/>
          <w:sz w:val="16"/>
          <w:szCs w:val="16"/>
          <w:i w:val="1"/>
          <w:iCs w:val="1"/>
          <w:color w:val="auto"/>
        </w:rPr>
        <w:t xml:space="preserve"> Improvement to Employee Share-based Payment Accounting</w:t>
      </w:r>
      <w:r>
        <w:rPr>
          <w:rFonts w:ascii="Arial" w:cs="Arial" w:eastAsia="Arial" w:hAnsi="Arial"/>
          <w:sz w:val="16"/>
          <w:szCs w:val="16"/>
          <w:color w:val="auto"/>
        </w:rPr>
        <w:t>, which would among other items, provide an accounting policy election to account for forfeitures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they occur, rather than to account for them based on an estimate of expected forfeitures and modifies financial statement presentation of excess tax benefits or deficiencies. We elected to account for forfeitures as they occur and therefore, stock-based compensation expense for the year ended January 31, 2017 has been calculated based on actual forfeitures in the consolidated statements of operations. The cumulative effect of this change increased the accumulated deficit and decreased additional paid-in capital as of February 1, 2016 by $1.5 million. Stock-based compensation expense for the year ended January 31, 2016 was recorded net of estimated forfeitures, which was based on historical forfeitures. In addition, the effect on our historical financial statements is limited to an immaterial cumulative-effect adjustment for previously unrecognized excess tax benefits as a deferred tax asset with an offset to opening accumulated deficit which was fully offset by a valuation allowance.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Consolidated Statements of Cash Flows. </w:t>
      </w:r>
      <w:r>
        <w:rPr>
          <w:rFonts w:ascii="Arial" w:cs="Arial" w:eastAsia="Arial" w:hAnsi="Arial"/>
          <w:sz w:val="16"/>
          <w:szCs w:val="16"/>
          <w:color w:val="auto"/>
        </w:rPr>
        <w:t>Starting February 1, 2016, we elected to early adopt ASU No. 2016-15, Statement of Cash Flows (Topic 230):</w:t>
      </w:r>
      <w:r>
        <w:rPr>
          <w:rFonts w:ascii="Arial" w:cs="Arial" w:eastAsia="Arial" w:hAnsi="Arial"/>
          <w:sz w:val="16"/>
          <w:szCs w:val="16"/>
          <w:i w:val="1"/>
          <w:iCs w:val="1"/>
          <w:color w:val="auto"/>
        </w:rPr>
        <w:t xml:space="preserve"> Classification of Certain Cash Receipts and Cash Payments </w:t>
      </w:r>
      <w:r>
        <w:rPr>
          <w:rFonts w:ascii="Arial" w:cs="Arial" w:eastAsia="Arial" w:hAnsi="Arial"/>
          <w:sz w:val="16"/>
          <w:szCs w:val="16"/>
          <w:color w:val="auto"/>
        </w:rPr>
        <w:t>and ASU No. 2016-18, Statement of Cash Flows (Topic 230):</w:t>
      </w:r>
      <w:r>
        <w:rPr>
          <w:rFonts w:ascii="Arial" w:cs="Arial" w:eastAsia="Arial" w:hAnsi="Arial"/>
          <w:sz w:val="16"/>
          <w:szCs w:val="16"/>
          <w:i w:val="1"/>
          <w:iCs w:val="1"/>
          <w:color w:val="auto"/>
        </w:rPr>
        <w:t xml:space="preserve"> Restricted Cash</w:t>
      </w:r>
      <w:r>
        <w:rPr>
          <w:rFonts w:ascii="Arial" w:cs="Arial" w:eastAsia="Arial" w:hAnsi="Arial"/>
          <w:sz w:val="16"/>
          <w:szCs w:val="16"/>
          <w:color w:val="auto"/>
        </w:rPr>
        <w:t>. ASU No. 2016-15</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the diversity in practice related to the classification of certain cash receipts and payments for debt prepayment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No. 2016-18 requires that the statement of cash flows explain the change during the period in the total of cash, cash equivalents, and amounts generally described as restricted cash or restricted cash equivalents. We adopted ASU No. 2016-15 and ASU No. 2016-18 using the retrospective transition method and adjusted the consolidated statements of cash flows in all comparative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May 2017, the Financial Accounting Standards Board, or FASB, issued ASU 2017-09,</w:t>
      </w:r>
      <w:r>
        <w:rPr>
          <w:rFonts w:ascii="Arial" w:cs="Arial" w:eastAsia="Arial" w:hAnsi="Arial"/>
          <w:sz w:val="16"/>
          <w:szCs w:val="16"/>
          <w:i w:val="1"/>
          <w:iCs w:val="1"/>
          <w:color w:val="auto"/>
        </w:rPr>
        <w:t xml:space="preserve"> Compensation—Stock Compensation </w:t>
      </w:r>
      <w:r>
        <w:rPr>
          <w:rFonts w:ascii="Arial" w:cs="Arial" w:eastAsia="Arial" w:hAnsi="Arial"/>
          <w:sz w:val="16"/>
          <w:szCs w:val="16"/>
          <w:color w:val="auto"/>
        </w:rPr>
        <w:t>(Topic 718). The amendments in the update provide guidance on types of changes to the terms or conditions of share-based payment awards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apply modification accounting under ASC 718. The new guidance becomes effective for us for the fiscal year ending January 31, 2018, though early adoption is permitted. We are currently evaluating whether this standard will have a material impact on our consolidated financial statements.</w:t>
      </w:r>
    </w:p>
    <w:p>
      <w:pPr>
        <w:spacing w:after="0" w:line="16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will simplify the measurement of goodwill by eliminating step two of the two-step impairment test. Step two measures a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 by comparing the implied fair value of a reporting unit's goodwill with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us for the fiscal year ending January 31, 2022, though early adoption is permitted. We do not expect the adoption of the new accounting standard to have a material impact on the consolidated financial statements.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which modifies lease accounting for lessees to increase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comparability by recording lease assets and liabilities for operating leases and disclosing key information about leasing arrangements. ASU 2016-02 will be effective for us beginning in our first quarter of 2021, and early adoption is permitted. We are currently evaluating adoption methods and whether this standard will have a material impact on our consolidated financial statements.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(Topic 606), which amends the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for revenue recognition. ASU 2014-09 is based on principles that govern the recognition of revenue at an amount an entity expects to be entitled when products are transferred to customers. ASU 2014-09 will be effective for us at the earlier of losing the emerging growth company status or in our annual results for our fiscal year ending on January 31, 2020, though early adoption is permitted.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Subsequently, the FASB has issued the following standards related to ASU 2014-09: ASU No. 2016-08, </w:t>
      </w:r>
      <w:r>
        <w:rPr>
          <w:rFonts w:ascii="Arial" w:cs="Arial" w:eastAsia="Arial" w:hAnsi="Arial"/>
          <w:sz w:val="16"/>
          <w:szCs w:val="16"/>
          <w:i w:val="1"/>
          <w:iCs w:val="1"/>
          <w:color w:val="auto"/>
        </w:rPr>
        <w:t>Revenue from Contracts with Customers (Topic</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i w:val="1"/>
          <w:iCs w:val="1"/>
          <w:color w:val="auto"/>
        </w:rPr>
        <w:t>606): Principal versus Agent Considerations</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ASU 2016-20, Technical Corrections and Improvements to Topic 606</w:t>
      </w:r>
      <w:r>
        <w:rPr>
          <w:rFonts w:ascii="Arial" w:cs="Arial" w:eastAsia="Arial" w:hAnsi="Arial"/>
          <w:sz w:val="16"/>
          <w:szCs w:val="16"/>
          <w:color w:val="auto"/>
        </w:rPr>
        <w:t>, which clarifies narrow aspects of ASC 606 or corrects unintended application of the guidance.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adopt ASU 2016-08, ASU 2016-10, ASU 2016-12, and ASU 2016-20 with ASU 2014-09 (collectively, the "new revenue standards").</w:t>
      </w:r>
    </w:p>
    <w:p>
      <w:pPr>
        <w:spacing w:after="0" w:line="16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plan to adopt the new revenue standards using the full retrospective transition method when it becomes effective for us, which is at the earlier of losing the emerging growth company status or in our annual results for our fiscal year ending on January 31, 2020. While we are continuing to assess the potential impacts of the new revenue standards, we currently expect unearned subscription revenue will decline significantly upon adoption. Currently, as our subscription offerings include a software term license and PCS for which we have not established VSOE, the entire subscription fee is recognized ratably over the term of the contract. However, under the new revenue standards we would generally expect that substantially all software term license revenue related to the sale of our licenses will be recognized upon delivery. We are continuing to evaluate the effect that the new revenue standards will have on our consolidated financial statements and related disclosures, and preliminary assessments are subject to change.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31"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tables present information about our financial assets and liabilities that have been measured at fair value on a recurring basis as of January 31, 2016 and 2017 and July 31, 2017 (unaudited), and indicates the fair value hierarchy of the valuation inputs utilized to determine such fair value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2016</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2017</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Financial Liability:</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liability</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2"/>
          </w:tcPr>
          <w:p>
            <w:pPr>
              <w:jc w:val="right"/>
              <w:ind w:right="603"/>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88"/>
              </w:rPr>
              <w:t>Fair Value Measurement at July 31, 2017</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28,167</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51,682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79,849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utilized the market approach and Level 1 valuation inputs to value our money market mutual funds and U.S. government treasury securities because published net asset values were readily available. As of January 31, 2016 and 2017 and July 31, 2017 (unaudited), gross unrealized gains and unrealized losses for cash equivalent for short-term investments were not material, and the contractual maturity of all marketable securities was less than one year.</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estimate the fair value of our redeemable convertible preferred stock warrant liability using the Black-Scholes pricing model. The significant unobservable inputs used in the fair value measurement of the redeemable convertible preferred stock warrant liability are the fair value of the underlying stock at the valuation date and the estimated term of the warrant. Generally, increases (decreases) in the fair value of the underlying stock and estimated term would result in a directionally similar impact to the fair value measurement, as recognized in other income (expense), net in the consolidated statements of operations. Our redeemable convertible preferred stock warrants are categorized as Level 3 because they were valued based on unobservable inputs and management's judgment due to the absence of quoted mark prices, inherent lack of liquidity and the long-term nature of such financial instruments.</w:t>
      </w:r>
    </w:p>
    <w:p>
      <w:pPr>
        <w:spacing w:after="0" w:line="17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presents a reconciliation of the redeemable convertible preferred stock warrant liability measured at fair value using significant unobservable inputs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balance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Issuance of redeemable convertible preferred stock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Conversion of redeemable convertible preferred stock warrant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liability into redeemable convertible preferred stock</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4"/>
              </w:rPr>
              <w:t>Change in fair value of redeemable convertible preferred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warrant liability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ending balance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0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July 31,</w:t>
            </w: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Servers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959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(11,056)</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$3.2 million, $2.9 million, $1.4 million and $1.4 million for the year ended January 31, 2016 and 2017 and the six months ended July 31, 2016 and 2017 (unaudited),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our intangible assets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2"/>
          </w:tcPr>
          <w:p>
            <w:pPr>
              <w:jc w:val="right"/>
              <w:ind w:right="960"/>
              <w:spacing w:after="0"/>
              <w:rPr>
                <w:sz w:val="20"/>
                <w:szCs w:val="20"/>
                <w:color w:val="auto"/>
              </w:rPr>
            </w:pPr>
            <w:r>
              <w:rPr>
                <w:rFonts w:ascii="Arial" w:cs="Arial" w:eastAsia="Arial" w:hAnsi="Arial"/>
                <w:sz w:val="18"/>
                <w:szCs w:val="18"/>
                <w:color w:val="auto"/>
              </w:rPr>
              <w:t>F-22</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 (Continued)</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July 31,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Net Book</w:t>
            </w:r>
          </w:p>
        </w:tc>
      </w:t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Domain name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Acquired intangible assets are amortized on a straight-line basis. As of July 31, 2017 (unaudited), the weighted-average remaining useful lives of identifiable, acquisition-related intangible assets was 2.3 years for developed technology and 2.7 years for domain name. Amortization expense of intangible assets for the years ended January 31, 2016 and 2017 and the six months ended July 31, 2016 and 2017 (unaudited) was $0.9 million, $0.9 million, $0.4 million and $0.4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2017,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2,511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31, 2017 (unaudited),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Remainder of 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2,069</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entered into non-cancellable operating leases, primarily related to rental of office space expiring through 2027. We recognize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We may receive renewal or expansion options, leasehold improvement allowances or other incentives on certain lease agreements. Total rent expense related to operating leases for the years ended January 31, 2016 and 2017 and the six months ended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July 31, 2016 and 2017 (unaudited) was $5.3 million, $7.0 million, $3.1 million and $4.2 million, respectively.</w:t>
      </w:r>
    </w:p>
    <w:p>
      <w:pPr>
        <w:spacing w:after="0" w:line="225"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In August 2016, we amended an existing irrevocable, standby letter of credit with Silicon Valley Bank for $0.5 million to serve as a security deposit for our lease in New York. The amendment reduced the letter of credit from $1.1 million to $0.5 million. In January 2017, we entered into an irrevocable, standby letter of credit with Silicon Valley Bank for $0.4 million to serve as a security deposit for our lease in Texas. These letters of credit mature at various dates, but do not extend beyond the corresponding lease agreements for which such letter of credit has been obtained.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certain other non-cancellable agreements primarily for subscription and marketing services.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January 31, 2017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25,810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July 31, 2017 (unaudited),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1"/>
              </w:rPr>
              <w:t>Remainder of 2018</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4,598</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7,539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22,762</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time to time, we have become involved in claims and other legal matters arising in the ordinary course of business. We investigate these claims as they arise. Although claims are inherently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unpredictable, we are currently not aware of any matters that may have a material adverse effect on our business, financial position, results of operations or cash flows, individually or in the aggregate.</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record an accrual for legal and other contingencies when losses are probable and estimable. From time to time, we are a party to litigation and subject to claims incident to the ordinary course of business, including intellectual property claims, labor and employment claims, and threatened claims, breach of contract claims, and other matters.</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Although the results of litigation and claims are inherently unpredictable, we believe that there was not at least a reasonable possibility that we had incurred a material loss with respect to such loss contingencies, as of January 31, 2016 and 2017 and July 31, 2017 (unaudited), therefore, we have not recorded an accrual for any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including business partners, contractors and parties performing its research and development. Pursuant to these arrangements, we agree to indemnify, hold harmless, and reimburse the indemnified party for certain losses suffered or incurred by the indemnified party as a result of our activities. The terms of these indemnification agreements are generally perpetual. The maximum potential amount of future payments we could be required to make under these agreements is not determinable. We have never incurred costs to defend lawsuits or settle claims related to these indemnification agreements. As a result, we believe the fair value of these agreements is not material. We maintain commercial general liability insurance and product liability insurance to offset certain of our potential liabilities under these indemnification provisions.</w:t>
      </w:r>
    </w:p>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indemnification agreements with each of our directors. These agreements require us to indemnify such individuals, to the fullest extent permitted by Delaware law, for certain liabilities to which they may become subject as a result of their affiliation with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Redeemable convertible preferred stock is issuable in one or more series, each with such designations, rights, qualifications, limitations, and restrictions as set forth in our certificate of incorporation. In January 2017, we issued 2,092,785 shares of Series F redeemable convertible preferred stock to an existing investor at a price of $16.724127 per share for a total gross consideration of $35.0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Redeemable convertible preferred stock as of January 31, 2016 and 2017 and July 31, 2017 (unaudited) consists of the following (in thousands, except share data):</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14,989,719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13,752,578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40,337,939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39,055,497</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15,886,621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15,845,363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41,234,841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41,148,282</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87"/>
              </w:rPr>
              <w:t>July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right"/>
              <w:ind w:right="212"/>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Issued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280" w:type="dxa"/>
            <w:vAlign w:val="bottom"/>
          </w:tcPr>
          <w:p>
            <w:pPr>
              <w:spacing w:after="0"/>
              <w:rPr>
                <w:sz w:val="14"/>
                <w:szCs w:val="14"/>
                <w:color w:val="auto"/>
              </w:rPr>
            </w:pPr>
          </w:p>
        </w:tc>
        <w:tc>
          <w:tcPr>
            <w:tcW w:w="9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920" w:type="dxa"/>
            <w:vAlign w:val="bottom"/>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4,155,972</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28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15,886,621</w:t>
            </w:r>
          </w:p>
        </w:tc>
        <w:tc>
          <w:tcPr>
            <w:tcW w:w="16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15,886,621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265,690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41,234,841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41,232,762</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our redeemable convertible preferred stock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Each share of redeemable convertible preferred stock is convertible at the option of the holder into such number of Class B common stock as is determined by dividing the original issue price of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applicable series of redeemable convertible preferred stock by the conversion price for the applicable series of redeemable convertible preferred stock in effect at the time of the conversion. The conversion price and the original purchase price for each series of redeemable convertible preferred stock is subject to adjustment for certain events, including subdivisions, dividends, stock splits or combinations of common stock, reclassifications, exchange and substitution or for dilutive issuances. All shares of redeemable convertible preferred stock will be automatically converted to Class B common stock at the then-effective conversion rate following the approval, (a) by affirmative vote, written consent, or agreement, of the holders of at least 50% of the outstanding redeemable convertible preferred stock (including at least 50% of the outstanding Series F redeemable convertible preferred stock unless the conversion is in connection with the consummation of a redeemable convertible preferred stock financing at a price per share less than the Series F redeemable convertible preferred stock conversion price) or (b) upon closing of the sale of our Class A common stock to the public, in a firm-commitment underwritten public offering listed on the NASDAQ Stock Market or the New York Stock Exchange, pursuant to an effective registration statement under the Securities Act of 1933, as amended, resulting in at least $40.0 million in gross proceeds to us, constituting a qualifying IPO. As of January 31, 2016 and 2017 and July 31, 2017 (unaudited), the Series A, B, C, D and E redeemable convertible preferred stock are convertible into shares of Class B common stock at 1:1.5, and the Series F redeemable convertible preferred stock is convertible into shares of Class B common stock at 1:1.</w:t>
      </w:r>
    </w:p>
    <w:p>
      <w:pPr>
        <w:spacing w:after="0" w:line="17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i w:val="1"/>
          <w:iCs w:val="1"/>
          <w:color w:val="auto"/>
        </w:rPr>
        <w:t xml:space="preserve">Adjustment of Conversion Price for Qualifying Dilutive Issuances. </w:t>
      </w:r>
      <w:r>
        <w:rPr>
          <w:rFonts w:ascii="Arial" w:cs="Arial" w:eastAsia="Arial" w:hAnsi="Arial"/>
          <w:sz w:val="16"/>
          <w:szCs w:val="16"/>
          <w:color w:val="auto"/>
        </w:rPr>
        <w:t>In the event we issue additional shares of Class B common stock after the original issue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without consideration or for a consideration per share less than the redeemable convertible preferred stock conversion price in effect immediately prior to such issuance, the conversion price will be reduced to a price equal to such conversion price multiplied by the following fraction:</w:t>
      </w:r>
    </w:p>
    <w:p>
      <w:pPr>
        <w:spacing w:after="0" w:line="174" w:lineRule="exact"/>
        <w:rPr>
          <w:sz w:val="20"/>
          <w:szCs w:val="20"/>
          <w:color w:val="auto"/>
        </w:rPr>
      </w:pPr>
    </w:p>
    <w:p>
      <w:pPr>
        <w:jc w:val="both"/>
        <w:ind w:left="1080" w:right="14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numerator of which is equal to the sum of (i) the number of shares of Class B common stock outstanding immediately prior to such issuance; and (ii) the number of shares of Class B common stock that would have been issued if such additional shares of Class B common stock had been issued at a price per share equal to the conversion price in effect immediately prior to such issuance; and</w:t>
      </w:r>
    </w:p>
    <w:p>
      <w:pPr>
        <w:spacing w:after="0" w:line="187"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denominator of which is equal to the number of shares of Class B common stock outstanding immediately prior to such issuance plus the number of additional shares of Class B common stock so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liquidation, dissolution, winding up of the Company, or a change in control, each a deemed liquidation event, either voluntarily or involuntarily, the holders of redeemable convertible preferred stock will receive an amount per share equal to the greater of: (i) the original issue price plus any dividends declared but unpaid thereon; or (ii) such amount per share as would have been payable had all series of redeemable convertible preferred stock been converted into Class B common stock, on a pari passu basis, and prior and in preference to any payment or distribution to holders of common stock. The original issue price for the Series A, B, C, D, E, F redeemable convertible preferred stock is $0.453, $0.493537, $1.079573108, $4.2498787, $12.024864, and $16.724127 per share, respectively. If assets remain available for distribution after the distribution of all preferential amounts to holders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redeemable convertible preferred stockholders, the remaining assets will be distributed on an equal priority to the holders of Class A and Class B common stock on a pro rata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holders of the redeemable convertible preferred stock are entitled to the number of votes equal to the number of shares of Class B common stock into which its respective shares of redeemable convertible preferred stock is convertible on the record date for the vote. The holders of Series E redeemable convertible preferred stock are entitled to elect one non-voting director. The holders of Series A, Series B and Series D redeemable convertible preferred stock, each voting as a separate class, are each entitled to elect one director. The holders of common stock, voting as a separate class, are entitled to elect four directors. The holders of redeemable convertible preferred stock and common stock, voting together as a single class on an as-if-converted basis, are entitled to elect the remaining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Holders of redeemable convertible preferred stock are entitled to receive noncumulative dividends at the rate of 8% of their applicable original issue price per share (as adjusted for any stock dividends, combinations, recapitalizations, or stock splits), on a pari passu basis when, as, and if, declared by our Board of Directors. No dividends will be paid to holders of common stock at a rate greater than that paid to the holders of redeemable convertible preferred stock. After payment in full of such amounts as set forth above, any additional dividends declared will be distributed among all holders of redeemable convertible preferred stock and common stock on an as-if-converted basis. No dividends have been declared by our Board of Directors for any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redeemable convertible preferred stock does not contain any date-certain redemption features. Shares of redeemable convertible preferred stock are redeemable at a price equal to their applicable original issue price, plus all declared but unpaid dividends thereon, in three annual installments commencing not more than 60 days after receipt of written notice from holders of at least 50% of the then-outstanding shares of redeemable convertible preferred stock on or after October 2, 2018.</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classify our redeemable convertible preferred stock outside of stockholders' deficit since the redemption of the redeemable convertible preferred stock, including the occurrence of deemed liquidation event, is not solely within our control. The carrying values of the redeemable convertible preferred stock were not adjusted to its redemption amount or liquidation values since the redemption or deemed liquidation event was not probable at any of the balance sheet dates. Subsequent adjustments to increase or decrease the carrying values to the ultimate redemption amount or liquidation values will be made only if and when it becomes probable that such an event will occur.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following the closing of the IPO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 then-outstanding Class A and Class B common stock; or (b) the date specified by vote of our Board of Directors and the holders of a majority of the outstanding shares of Class B common stock and redeemable convertible preferred stock, voting together as a single class on an as-converted basis.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and Class B common stock are referred to as common stock throughout the notes to the consolidated financial statements, unless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and Class B common stock has been reserved, on an as-if-converted basis, for future issuance as follows:</w:t>
      </w:r>
    </w:p>
    <w:p>
      <w:pPr>
        <w:spacing w:after="0" w:line="27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January 31, 2016</w:t>
      </w: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51,706,919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Outstanding stock options to purchase common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18,644,596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1,948,694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72,653,505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540" w:type="dxa"/>
            <w:vAlign w:val="bottom"/>
            <w:gridSpan w:val="2"/>
          </w:tcPr>
          <w:p>
            <w:pPr>
              <w:ind w:left="3820"/>
              <w:spacing w:after="0"/>
              <w:rPr>
                <w:sz w:val="20"/>
                <w:szCs w:val="20"/>
                <w:color w:val="auto"/>
              </w:rPr>
            </w:pPr>
            <w:r>
              <w:rPr>
                <w:rFonts w:ascii="Arial" w:cs="Arial" w:eastAsia="Arial" w:hAnsi="Arial"/>
                <w:sz w:val="18"/>
                <w:szCs w:val="18"/>
                <w:color w:val="auto"/>
              </w:rPr>
              <w:t>F-29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January 31,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690,000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21,491,188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1,356,324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2,046,324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75,644,188</w:t>
            </w:r>
          </w:p>
        </w:tc>
        <w:tc>
          <w:tcPr>
            <w:tcW w:w="1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5900" w:type="dxa"/>
            <w:vAlign w:val="bottom"/>
          </w:tcPr>
          <w:p>
            <w:pPr>
              <w:spacing w:after="0"/>
              <w:rPr>
                <w:sz w:val="24"/>
                <w:szCs w:val="24"/>
                <w:color w:val="auto"/>
              </w:rPr>
            </w:pPr>
          </w:p>
        </w:tc>
        <w:tc>
          <w:tcPr>
            <w:tcW w:w="2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July 31,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208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53,905,795</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3,118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5,836,950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19,028,377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Options available for future issuance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2,778,524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8,665,474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73,181,377</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240" w:firstLine="351"/>
        <w:spacing w:after="0" w:line="303" w:lineRule="auto"/>
        <w:rPr>
          <w:sz w:val="20"/>
          <w:szCs w:val="20"/>
          <w:color w:val="auto"/>
        </w:rPr>
      </w:pPr>
      <w:r>
        <w:rPr>
          <w:rFonts w:ascii="Arial" w:cs="Arial" w:eastAsia="Arial" w:hAnsi="Arial"/>
          <w:sz w:val="15"/>
          <w:szCs w:val="15"/>
          <w:color w:val="auto"/>
        </w:rPr>
        <w:t>In June 2012 and July 2013, in connection with a software development contract with a customer, we issued warrants to purchase Series E and Series F redeemable convertible preferred stock at an exercise price of $0.01 per share. The number of shares of redeemable convertible preferred stock available for purchase under the warrant is determined based on a pro rata portion of installation payments received from the customer. The warrants expire at the earlier of</w:t>
      </w:r>
    </w:p>
    <w:p>
      <w:pPr>
        <w:spacing w:after="0" w:line="1" w:lineRule="exact"/>
        <w:rPr>
          <w:sz w:val="20"/>
          <w:szCs w:val="20"/>
          <w:color w:val="auto"/>
        </w:rPr>
      </w:pPr>
    </w:p>
    <w:p>
      <w:pPr>
        <w:ind w:firstLine="8"/>
        <w:spacing w:after="0" w:line="310" w:lineRule="auto"/>
        <w:tabs>
          <w:tab w:leader="none" w:pos="21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June 29, 2017 for Series E warrants and July 31, 2018 for Series F warrants; and (ii) the consummation of an acceleration event, including sale of all or substantially all of our assets, change in control, closing of a firm-commitment underwritten public offering, and completion of a liquidation event. During the year ended January 31, 2016, we issued 9,148 shares of Series F warrants under the arrangement and determined the fair value on issuance date to be $151,000. These warrants were recognized as a reduction of deferred revenue with a corresponding increase in redeemable convertible preferred stock warrant liability. The fair value was estimated using the Black-Scholes pricing model based on the following assumptions: expected term of 2.75 years, risk-free interest rate of 0.98%, expected volatility of 39.0% and expected dividend yield of 0%. As of January 31, 2016 and 2017 (unaudited), 43,222 shares of Series E redeemable convertible preferred stock warrants and 41,258 shares of Series F redeemable convertible preferred stock warrants were outstanding. No additional warrant shares are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issuable under the arrangement. During the six months ended July 31, 2017 (unaudited), warrants to purchase 43,222 shares of Series E redeemable convertible preferred stock and 41,258 shares of Series F redeemable convertible preferred stock were exercised. Upon the exercise of these warrants, the aggregate fair value of the Series E and Series F redeemable convertible preferred stock warrant liabilities were remeasured to be $1.2 million on the exercise date and were reclassified to redeemable convertible preferred stock.</w:t>
      </w:r>
    </w:p>
    <w:p>
      <w:pPr>
        <w:spacing w:after="0" w:line="197"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November 2012, in connection with a service contract with another customer, we issued a warrant to purchase 2,079 shares of Series E redeemable convertible preferred stock at an exercise price of $12.025 per share. The warrant expires at the earlier of (i) November 5, 2017; (ii) the date of closing of the issuance and sale of shares of common stock in an initial public offering; (iii) change in control; and (iv) sale of all or substantially all of our assets. As of January 31, 2016 and 2017 and July 31, 2017 (unaudited), all of these warrants were still outstanding.</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redeemable convertible preferred stock warrants are classified as a liability on the consolidated balance sheet. At each reporting date, we remeasure the redeemable convertible preferred stock warrant liabilities to their fair value and changes in fair value of warrant liability are recorded in other income (expense), net in the consolidated statements of operations. As of January 31, 2016 and 2017 and July 31, 2017 (unaudited), we estimated the fair value of the redeemable convertible preferred stock warrants using the Black-Scholes option-pricing model with the following assumptions: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January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July 31,</w:t>
            </w: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140" w:type="dxa"/>
            <w:vAlign w:val="bottom"/>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2017</w:t>
            </w:r>
          </w:p>
        </w:tc>
        <w:tc>
          <w:tcPr>
            <w:tcW w:w="940" w:type="dxa"/>
            <w:vAlign w:val="bottom"/>
            <w:gridSpan w:val="2"/>
          </w:tcPr>
          <w:p>
            <w:pPr>
              <w:jc w:val="center"/>
              <w:ind w:left="76"/>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 Redeemable Convertible Preferred Stock Warrants</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560" w:type="dxa"/>
            <w:vAlign w:val="bottom"/>
          </w:tcPr>
          <w:p>
            <w:pPr>
              <w:ind w:left="20"/>
              <w:spacing w:after="0"/>
              <w:rPr>
                <w:sz w:val="20"/>
                <w:szCs w:val="20"/>
                <w:color w:val="auto"/>
              </w:rPr>
            </w:pPr>
            <w:r>
              <w:rPr>
                <w:rFonts w:ascii="Arial" w:cs="Arial" w:eastAsia="Arial" w:hAnsi="Arial"/>
                <w:sz w:val="18"/>
                <w:szCs w:val="18"/>
                <w:color w:val="auto"/>
              </w:rPr>
              <w:t>- 1.76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560" w:type="dxa"/>
            <w:vAlign w:val="bottom"/>
          </w:tcPr>
          <w:p>
            <w:pPr>
              <w:ind w:left="40"/>
              <w:spacing w:after="0"/>
              <w:rPr>
                <w:sz w:val="20"/>
                <w:szCs w:val="20"/>
                <w:color w:val="auto"/>
              </w:rPr>
            </w:pPr>
            <w:r>
              <w:rPr>
                <w:rFonts w:ascii="Arial" w:cs="Arial" w:eastAsia="Arial" w:hAnsi="Arial"/>
                <w:sz w:val="18"/>
                <w:szCs w:val="18"/>
                <w:color w:val="auto"/>
              </w:rPr>
              <w:t>- 0.76</w:t>
            </w:r>
          </w:p>
        </w:tc>
        <w:tc>
          <w:tcPr>
            <w:tcW w:w="940" w:type="dxa"/>
            <w:vAlign w:val="bottom"/>
            <w:gridSpan w:val="2"/>
          </w:tcPr>
          <w:p>
            <w:pPr>
              <w:jc w:val="center"/>
              <w:ind w:left="76"/>
              <w:spacing w:after="0"/>
              <w:rPr>
                <w:sz w:val="20"/>
                <w:szCs w:val="20"/>
                <w:color w:val="auto"/>
              </w:rPr>
            </w:pPr>
            <w:r>
              <w:rPr>
                <w:rFonts w:ascii="Arial" w:cs="Arial" w:eastAsia="Arial" w:hAnsi="Arial"/>
                <w:sz w:val="18"/>
                <w:szCs w:val="18"/>
                <w:color w:val="auto"/>
                <w:w w:val="85"/>
              </w:rPr>
              <w:t>0.27</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- 33%</w:t>
            </w:r>
          </w:p>
        </w:tc>
        <w:tc>
          <w:tcPr>
            <w:tcW w:w="94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88"/>
              </w:rPr>
              <w:t>27%</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0.6%</w:t>
            </w:r>
          </w:p>
        </w:tc>
        <w:tc>
          <w:tcPr>
            <w:tcW w:w="560" w:type="dxa"/>
            <w:vAlign w:val="bottom"/>
          </w:tcPr>
          <w:p>
            <w:pPr>
              <w:ind w:left="20"/>
              <w:spacing w:after="0"/>
              <w:rPr>
                <w:sz w:val="20"/>
                <w:szCs w:val="20"/>
                <w:color w:val="auto"/>
              </w:rPr>
            </w:pPr>
            <w:r>
              <w:rPr>
                <w:rFonts w:ascii="Arial" w:cs="Arial" w:eastAsia="Arial" w:hAnsi="Arial"/>
                <w:sz w:val="18"/>
                <w:szCs w:val="18"/>
                <w:color w:val="auto"/>
                <w:w w:val="99"/>
              </w:rPr>
              <w:t>- 0.7%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ind w:left="40"/>
              <w:spacing w:after="0"/>
              <w:rPr>
                <w:sz w:val="20"/>
                <w:szCs w:val="20"/>
                <w:color w:val="auto"/>
              </w:rPr>
            </w:pPr>
            <w:r>
              <w:rPr>
                <w:rFonts w:ascii="Arial" w:cs="Arial" w:eastAsia="Arial" w:hAnsi="Arial"/>
                <w:sz w:val="18"/>
                <w:szCs w:val="18"/>
                <w:color w:val="auto"/>
                <w:w w:val="96"/>
              </w:rPr>
              <w:t>- 0.7%</w:t>
            </w:r>
          </w:p>
        </w:tc>
        <w:tc>
          <w:tcPr>
            <w:tcW w:w="940" w:type="dxa"/>
            <w:vAlign w:val="bottom"/>
            <w:gridSpan w:val="2"/>
          </w:tcPr>
          <w:p>
            <w:pPr>
              <w:jc w:val="center"/>
              <w:ind w:left="76"/>
              <w:spacing w:after="0"/>
              <w:rPr>
                <w:sz w:val="20"/>
                <w:szCs w:val="20"/>
                <w:color w:val="auto"/>
              </w:rPr>
            </w:pPr>
            <w:r>
              <w:rPr>
                <w:rFonts w:ascii="Arial" w:cs="Arial" w:eastAsia="Arial" w:hAnsi="Arial"/>
                <w:sz w:val="18"/>
                <w:szCs w:val="18"/>
                <w:color w:val="auto"/>
                <w:w w:val="90"/>
              </w:rPr>
              <w:t>1.06%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2"/>
              </w:rPr>
              <w:t>0%</w:t>
            </w:r>
          </w:p>
        </w:tc>
        <w:tc>
          <w:tcPr>
            <w:tcW w:w="94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4"/>
              </w:rPr>
              <w:t>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Series F Redeemable Convertible Preferred Stock Warrants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14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7"/>
              </w:rPr>
              <w:t>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38%</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41%</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Dividend rate</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April 2013, in connection with a lease agreement and a loan agreement with the same financial institution, we issued immediately exercisable and fully vested warrants to purchase an aggregate of 232,516 shares of Class B common stock at an exercise price of $2.86 per share. These warrants expire at the later of (i) April 29, 2020; or (ii) five years from the effective date of an initial public offering closed prior to April 29, 2020.</w:t>
      </w:r>
    </w:p>
    <w:p>
      <w:pPr>
        <w:spacing w:after="0" w:line="16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In April 2013, in connection with a loan agreement with another financial institution, we issued immediately exercisable and fully vested warrants to purchase 11,571 shares of Class B common stock at an exercise price of $2.86 per share. These warrants expire at the earlier of (i) April 29, 2023; and (ii) a change in control event including sale of all or substantially all of our assets, merge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consolidation of the Company in which the stockholders immediately prior to such merger own less than a majority of the outstanding voting power of the successor entity, and sale or transfer of shares representing at least a majority of our then-outstanding combined voting power.</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Warrants to purchase Class B common stock are accounted for as equity instruments. We estimated the aggregate fair value of the common stock warrants on issuance date to be $0.3 million, which was recorded in additional paid-in capital on the consolidated balance sheets. No common stock warrants were granted or exercised during the years ended January 31, 2016 and 2017 and the six months ended July 31, 2017 (unaudited).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and 2016 Stock Plan</w:t>
      </w:r>
    </w:p>
    <w:p>
      <w:pPr>
        <w:spacing w:after="0" w:line="225"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In 2008 and 2016, we adopted the 2008 Stock Incentive Plan as amended, or the 2008 Plan, and the 2016 Equity Incentive Plan, or the 2016 Plan, for the purpose of granting stock-based awards to employees, directors, and consultants, including stock options and other stock-based awards including restricted stock units, or RSUs. With the establishment of the 2016 Plan in December 2016, all shares available for grant under the 2008 Plan were transferred to the 2016 Plan. We no longer grant any stock-based awards under the 2008 Plan and any shares underlying stock options cancelled under the 2008 Plan will be automatically transferred to the 2016 Plan. Stock options granted under the stock option plans may be either incentive stock options, or ISOs, or nonstatutory stock options, or NSOs. ISOs may be granted to employees and NSOs may be granted to employees, directors, or consultants. As of January 31, 2017, we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or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Stock option awards generally vest over a period of four years with 25% vesting on the one year anniversary of the award and the remainder vesting monthly over the next 36 months of the grantee's service to the Company. All outstanding restricted stock awards were fully vested in January 2014, and no restricted stock awards were granted during the years ended January 31, 2016 and 2017. During the six months ended July 31, 2017 (unaudited), 50,000 RSUs were granted under the 2016 Plan. Our Board of Directors determines the vesting schedule for all equity awards. We generally perform a valuation analysis of our common stock on a quarterly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stock option activity for the 2008 and 2016 Plans (in thousands, except share and per share data and years):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Price Per</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17,054,813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(5,051,818)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(1,158,830)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(2,303,205)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30,818</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1,948,694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18,644,596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(8,808,462)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(3,068,490)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12,712</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1,356,324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22,181,188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 (unaudited)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(5,534,850)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 (unaudited)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(1,864,381)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granted (unaudited)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20,720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(986,330)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Balance—July 31, 2017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2,778,524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24,865,327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exercisable—January 31, 2017</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8,688,407</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exercisable—July 31, 2017</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9,445,566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23,300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For the years ended January 31, 2016 and 2017 and the six months ended July 31, 2016 and 2017 (unaudited), total estimated fair value for stock-based compensation awards granted to employees was $19.0 million, $11.7 million, $9.1 million and $10.9 million, respectively. The weighted-average grant-date fair value of options granted to employees for the years ended January 31, 2016 and 2017 and the six months ended July 31, 2016 and 2017 (unaudited), was $3.77 per share, $1.46 per share, $1.43 per share and $1.98 per share, respectively. The intrinsic value of options exercised for the years ended January 31, 2016 and 2017 and the six months ended July 31, 2016 and 2017 (unaudited), was determined to be $6.5 million, $2.9 million, $1.2 million and $2.4 million, respectively.</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total grant date fair value of options vested for the years ended January 31, 2016 and 2017 and the six months ended July 31, 2016 and 2017 (unaudited), was $11.6 million, $15.5 million, $8.0 million and $6.7 million, respectively. As of January 31, 2017 and July 31, 2017 (unaudited), we had stock-based compensation expenses of $36.7 million and $37.3 million, respectively, related to unvested stock options that we expect to recognize over a weighted-average period of 2.59 years and 2.63 years,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April 13, 2016, we amended all then-current employee and active non-employee stock options with an exercise price greater than $3.25 per share that remained outstanding and unexercised on such date to reprice their respective exercise prices to $3.25 per share, the fair market value of our common stock as of April 13, 2016, as determined by the Board of Directors. Pursuant to this repricing, options to purchase 13,797,483 shares of common stock were repriced, including options to purchase 6,607,572 shares of common stock held by our executive officers. We determined the total incremental compensation expenses related to the repriced awards was $10.7 million, of which $5.6 million was recorded in the year ended January 31, 2017 and $1.2 million in the six months ended July 31, 2017 (unaudited).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allow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70"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For the years ended January 31, 2016 and 2017 and the six months ended July 31, 2016 and 2017 (unaudited), we issued common stock of 24,213, 481,346, 362,925 and 517,518 shares for stock options exercised prior to vesting, respectively. For the years ended January 31, 2016 and 2017 and the six months ended July 31, 2016 and 2017 (unaudited), we repurchased 30,818, 12,712, 158 and 50,720 shares of common stock related to unvested stock options at the original exercise price due to the termination of employees. As of January 31, 2016 and 2017 and July 31, 2017 (unaudited), 30,389, 236,099 and 579,429 shares held by employees and directors were subject to potential repurchase at an aggregate price of $0.2 million, $0.8 million and $2.1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April 2016, we adopted the 2016 China Stock Appreciation Rights Plan, or the China SAR Plan, for our employees in China. The China SAR Plan includes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our common stock being publicly traded (a qualifying liquidity event). The China SAR Plan units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settled upon exercise and will be paid as a cash bonus equal to the difference between the strike price of the vested plan units and the then-current fair market value of common stock.</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year ended January 31, 2017, we granted 43,000 units of the China SAR Plan at a weighted average strike price of $3.39 per share. We granted no units under this plan for the six months ended July 31, 2017 (unaudited). All of the units granted in the year ended January 31, 2017 are still outstanding as of January 31, 2017 and July 31, 2017 (unaudited). We did not recognize any compensation expenses related to the China SAR Plan units because we did not believe the performance conditions to be probable until the occurrence of a qualifying liquidity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six months ended July 31, 2017 (unaudited), we granted 50,000 RSUs to one of our directors with a total grant date fair value of $0.3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RSUs vest on the one-year anniversary of the grant date in June 2018. No RSUs were vested as of July 31, 2017 (unaudited).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determination of the fair value of stock options on the date of grant using an option-pricing model is affected by the estimated fair value of our common stock, as well as assumptions regarding a number of complex and subjective variables. The variables used to calculate the fair value of stock options using the Black-Scholes option-pricing model include actual and projected employee stock option exercise behaviors, expected price volatility of our common stock, the risk-free interest rate and expected dividends. Each of these inputs is subjective and generally requires significant judgment to determine.</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common stock underlying the stock options has historically been determined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with input from our management. Because there has been no public market for our common stock, the Board of Directors has determined the fair value of the common stock at the time of grant of the options by considering a number of objective and subjective factors, including valuations of comparable companies, sales of redeemable convertible preferred stock, sale of common stock to unrelated third parties, operating and financial performance, the lack of liquidity of our capital stock, and general and industry-specific economic outlook. The fair value of the underlying common stock will be determined by the Board of Directors until such time as our common stock is listed on an established stock exchange or national market system.</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For option grants that are considered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"plain vanilla," we determine the expected term using the simplified method. The simplified method deems the term to be the average of the time-to-vesting and the contractual life of the options. For other option grants, we estimate the expected term using historical data on employee exercises and post-vesting employment termination behavior taking into account the contractual life of the award.</w:t>
      </w:r>
    </w:p>
    <w:p>
      <w:pPr>
        <w:spacing w:after="0" w:line="197"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do not have a trading history of our common stock, the expected volatility is derived from the average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several unrelated public companies within our industry that we considers to be comparable to our own business over a period equivalent to the expected term of the stock option grants.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86"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Dividend Rate.</w:t>
      </w:r>
      <w:r>
        <w:rPr>
          <w:sz w:val="20"/>
          <w:szCs w:val="20"/>
          <w:color w:val="auto"/>
        </w:rPr>
        <w:tab/>
      </w:r>
      <w:r>
        <w:rPr>
          <w:rFonts w:ascii="Arial" w:cs="Arial" w:eastAsia="Arial" w:hAnsi="Arial"/>
          <w:sz w:val="15"/>
          <w:szCs w:val="15"/>
          <w:color w:val="auto"/>
        </w:rPr>
        <w:t>The expected dividend was assumed to be zero as we has never paid dividends and has no current plans to do so.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stock options granted was estimated on the date of grant using the Black-Scholes option pricing model with the following assumptions: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Six Months Ended July 31,</w:t>
            </w:r>
          </w:p>
        </w:tc>
      </w:tr>
      <w:tr>
        <w:trPr>
          <w:trHeight w:val="142"/>
        </w:trPr>
        <w:tc>
          <w:tcPr>
            <w:tcW w:w="348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3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11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91"/>
              </w:rPr>
              <w:t>6.32</w:t>
            </w:r>
          </w:p>
        </w:tc>
        <w:tc>
          <w:tcPr>
            <w:tcW w:w="122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5"/>
              </w:rPr>
              <w:t>6.07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ind w:left="20"/>
              <w:spacing w:after="0"/>
              <w:rPr>
                <w:sz w:val="20"/>
                <w:szCs w:val="20"/>
                <w:color w:val="auto"/>
              </w:rPr>
            </w:pPr>
            <w:r>
              <w:rPr>
                <w:rFonts w:ascii="Arial" w:cs="Arial" w:eastAsia="Arial" w:hAnsi="Arial"/>
                <w:sz w:val="18"/>
                <w:szCs w:val="18"/>
                <w:color w:val="auto"/>
              </w:rPr>
              <w:t>- 43%</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116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0%</w:t>
            </w:r>
          </w:p>
        </w:tc>
        <w:tc>
          <w:tcPr>
            <w:tcW w:w="1220" w:type="dxa"/>
            <w:vAlign w:val="bottom"/>
            <w:gridSpan w:val="3"/>
          </w:tcPr>
          <w:p>
            <w:pPr>
              <w:jc w:val="center"/>
              <w:ind w:left="152"/>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stock-based compensation expense recognized in our consolidated statements of operations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35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w w:val="85"/>
              </w:rPr>
              <w:t>July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revenue—subscription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Cost of revenue—services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2,567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3,616</w:t>
            </w:r>
          </w:p>
        </w:tc>
      </w:tr>
      <w:tr>
        <w:trPr>
          <w:trHeight w:val="210"/>
        </w:trPr>
        <w:tc>
          <w:tcPr>
            <w:tcW w:w="460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21,004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12,283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1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(45,769)</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w w:val="94"/>
              </w:rPr>
              <w:t>attributable to common stockholders, basic and diluted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23,526,487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26,772,495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Net loss per share attributable to common stockholders,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following weighted-average outstanding potentially dilutive common shares were excluded from the computation of diluted net loss per share attributable to common stockholders for the periods presented because the impact of including them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330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8"/>
              </w:rPr>
              <w:t>Six Months Ended July 31,</w:t>
            </w: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gridSpan w:val="5"/>
          </w:tcPr>
          <w:p>
            <w:pPr>
              <w:jc w:val="center"/>
              <w:ind w:right="132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0"/>
              </w:rPr>
              <w:t>Redeemable convertible preferred stock (on an if-converted basis)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51,712,637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53,820,219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Redeemable convertible preferred stock warrants (on an if-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converted basis)</w:t>
            </w:r>
          </w:p>
        </w:tc>
        <w:tc>
          <w:tcPr>
            <w:tcW w:w="920" w:type="dxa"/>
            <w:vAlign w:val="bottom"/>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89,029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 options to purchase Class B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17,688,832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21,554,634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20,987,933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20,030,192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3,364,030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59,483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158,777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84,542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399,414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4800" w:type="dxa"/>
            <w:vAlign w:val="bottom"/>
          </w:tcPr>
          <w:p>
            <w:pPr>
              <w:ind w:left="4380"/>
              <w:spacing w:after="0"/>
              <w:rPr>
                <w:sz w:val="20"/>
                <w:szCs w:val="20"/>
                <w:color w:val="auto"/>
              </w:rPr>
            </w:pPr>
            <w:r>
              <w:rPr>
                <w:rFonts w:ascii="Arial" w:cs="Arial" w:eastAsia="Arial" w:hAnsi="Arial"/>
                <w:sz w:val="18"/>
                <w:szCs w:val="18"/>
                <w:color w:val="auto"/>
              </w:rPr>
              <w:t>F-37</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5060" w:hanging="532"/>
        <w:spacing w:after="0" w:line="605" w:lineRule="auto"/>
        <w:tabs>
          <w:tab w:leader="none" w:pos="263"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 Loss per Share Attributable to Common Stockholders (Continued) </w:t>
      </w:r>
      <w:r>
        <w:rPr>
          <w:rFonts w:ascii="Arial" w:cs="Arial" w:eastAsia="Arial" w:hAnsi="Arial"/>
          <w:sz w:val="15"/>
          <w:szCs w:val="15"/>
          <w:b w:val="1"/>
          <w:bCs w:val="1"/>
          <w:i w:val="1"/>
          <w:iCs w:val="1"/>
          <w:color w:val="auto"/>
        </w:rPr>
        <w:t>Unaudited Pro Forma Net Loss per Share Attributable to Common Stockholders</w:t>
      </w:r>
    </w:p>
    <w:p>
      <w:pPr>
        <w:spacing w:after="0" w:line="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loss per share is as follows (in thousands, except share and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31, 2017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July 31, 2017</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(45,769)</w:t>
            </w: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Arial" w:cs="Arial" w:eastAsia="Arial" w:hAnsi="Arial"/>
                <w:sz w:val="18"/>
                <w:szCs w:val="18"/>
                <w:color w:val="auto"/>
                <w:w w:val="97"/>
              </w:rPr>
              <w:t>Change in fair value of convertible redeemable preferred stock warrant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Pro Forma net loss attributable to common stockholders used to compute pro</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net loss per share, basic and diluted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to compute net loss per share attributable to</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24,423,623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26,772,495</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adjustments to reflect conversion of redeemable convertible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51,712,637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53,820,219</w:t>
            </w:r>
          </w:p>
        </w:tc>
        <w:tc>
          <w:tcPr>
            <w:tcW w:w="0" w:type="dxa"/>
            <w:vAlign w:val="bottom"/>
          </w:tcPr>
          <w:p>
            <w:pPr>
              <w:spacing w:after="0"/>
              <w:rPr>
                <w:sz w:val="1"/>
                <w:szCs w:val="1"/>
                <w:color w:val="auto"/>
              </w:rPr>
            </w:pPr>
          </w:p>
        </w:tc>
      </w:tr>
      <w:tr>
        <w:trPr>
          <w:trHeight w:val="201"/>
        </w:trPr>
        <w:tc>
          <w:tcPr>
            <w:tcW w:w="5520" w:type="dxa"/>
            <w:vAlign w:val="bottom"/>
          </w:tcPr>
          <w:p>
            <w:pPr>
              <w:spacing w:after="0" w:line="201" w:lineRule="exact"/>
              <w:rPr>
                <w:sz w:val="20"/>
                <w:szCs w:val="20"/>
                <w:color w:val="auto"/>
              </w:rPr>
            </w:pPr>
            <w:r>
              <w:rPr>
                <w:rFonts w:ascii="Arial" w:cs="Arial" w:eastAsia="Arial" w:hAnsi="Arial"/>
                <w:sz w:val="18"/>
                <w:szCs w:val="18"/>
                <w:color w:val="auto"/>
                <w:w w:val="95"/>
              </w:rPr>
              <w:t>Weighted-average shares used to compute pro forma net loss per share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76,136,260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80,592,714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1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(55,878)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(28,826)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(30,084)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(73,044)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(85,962)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60" w:type="dxa"/>
            <w:vAlign w:val="bottom"/>
            <w:gridSpan w:val="2"/>
          </w:tcPr>
          <w:p>
            <w:pPr>
              <w:jc w:val="right"/>
              <w:ind w:right="2003"/>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federal statutory income tax rate of 34% and the provision for income taxes consisted of the following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statutory rate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(29,228)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19,390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Prior year true ups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January 31, 2017, we had net operating loss, or NOL, carryforwards for federal, state and Irish income tax purposes of $175.6 million, $138.6 million and $119.3 million, respectively, which begin to expire in the year ending January 31, 2028 for federal purposes and for the year ending January 31, 2021 for state purposes. Ireland allows NOLs to be carried forward indefinitely. The deferred tax assets associated with the NOL carryforwards in each of these jurisdictions are subject to a full valuation allowance. Under Section 382 of the U.S. Internal Revenue Code of 1986, a corporation that experiences an "ownership change" is subject to a limitation on our ability to utilize our pre-change NOLs to offset future taxable income. In April 2017, we completed an analysis under Section 382 to evaluate whether there are any limitations on our NOLs through January 31, 2017 and concluded that any prior ownership changes do not limit the utilization of the NOLs before they expire assuming sufficient future federal and state taxable income. However, it is possible that we could experience 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Significant components of our deferred tax assets for federal and state income taxes are as follows at January 31, 2016 and 2017, respectively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59,604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82,762</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7,863</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94,579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(68,692)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(94,465)</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5060" w:type="dxa"/>
            <w:vAlign w:val="bottom"/>
          </w:tcPr>
          <w:p>
            <w:pPr>
              <w:ind w:left="360"/>
              <w:spacing w:after="0"/>
              <w:rPr>
                <w:sz w:val="20"/>
                <w:szCs w:val="20"/>
                <w:color w:val="auto"/>
              </w:rPr>
            </w:pPr>
            <w:r>
              <w:rPr>
                <w:rFonts w:ascii="Arial" w:cs="Arial" w:eastAsia="Arial" w:hAnsi="Arial"/>
                <w:sz w:val="18"/>
                <w:szCs w:val="18"/>
                <w:color w:val="auto"/>
              </w:rPr>
              <w:t>Total deferred tax liability</w:t>
            </w:r>
          </w:p>
        </w:tc>
        <w:tc>
          <w:tcPr>
            <w:tcW w:w="10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tax assets are recognized when management believes it is more likely than not that they will be realized. Deferred tax assets are reduced by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if, based on available evidence, it is more likely than not that some or all of the deferred tax assets will not be realized. Due to the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 evidence resulting from losses since inception in the U.S. federal, U.S. state and Ireland jurisdictions, management maintains a full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the net deferred tax assets in these jurisdictions. The valuation allowance for deferred tax assets as of January 31, 2016 and January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$68.7 million and $94.5 million, respectively. In assessing the realizability of deferred tax assets, management considers whether it is more likely than not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some portion or all of the deferred tax assets will not be realized. The ultimate realization of deferred tax assets is dependent upon the generation of future taxable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during the periods in which those temporary differences become deductible. Management considers the scheduled reversal of deferred tax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impact of available carryback and carryforward periods), projected future taxable income, and tax planning strategies in making this assessment.</w:t>
      </w:r>
    </w:p>
    <w:p>
      <w:pPr>
        <w:spacing w:after="0" w:line="24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calculation of our tax obligations involves dealing with uncertainties in the application of complex tax laws and regulations.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that a tax benefit from an uncertain tax position may be recognized when it is more likely than not that the position will be sustained upon examination, including resolutions of any related appeals or litigation processes, on the basis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technical merits. We have assessed our income tax positions and recorded tax benefits for all years subject to examination, based upon our evaluation of the facts, circumstances and information available at each period end. For those tax positions where we have determined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believe that we have adequately reserved for our uncertain tax positions, we can provide no assurance that the final tax outcome of these matters will not be materially different. As we expand internationally, we will face increased complexity, and our unrecognized tax benefits may increase in the future. We make adjustments to our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within our unrecognized gross tax benefits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Unrecognized tax benefits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We have not provided for U.S. federal income and foreign withholding taxes on approximately $1.2 million of undistributed earnings from non-U.S. operations as of January 31, 2017 because we intend to reinvest such earnings indefinitely outside of the United States. If we were to distribute these earnings, foreign tax credits may become available under current law to reduce the resulting U.S. income tax liability. Determination of the amount of unrecognized deferred tax liability related to these earnings is not practicable due to the fact that the amount and timing of a hypothetical distribution is unknown.</w:t>
      </w:r>
    </w:p>
    <w:p>
      <w:pPr>
        <w:spacing w:after="0" w:line="152"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are not currently under Internal Revenue Service, state, or foreign income tax examination. We do not anticipate any significant increases or decreases in our uncertain tax positions within the next twelve months. We file tax returns in the United States for federal, New York, California and other states. All tax years remain open to examination for both federal and state purposes as a result of the net operating loss and credit carryforwards. We file foreign tax returns in various locations. These foreign returns are open to examination for the years ending January 31, 2012 through January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operate as one operating segment as we only report financial information on an aggregate and consolidated basis to our Chief Executive Officer, who is our chief operating decision maker.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sets forth our total revenue by geographic areas based on the customers' location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43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left="282"/>
              <w:spacing w:after="0"/>
              <w:rPr>
                <w:sz w:val="20"/>
                <w:szCs w:val="20"/>
                <w:color w:val="auto"/>
              </w:rPr>
            </w:pPr>
            <w:r>
              <w:rPr>
                <w:rFonts w:ascii="Arial" w:cs="Arial" w:eastAsia="Arial" w:hAnsi="Arial"/>
                <w:sz w:val="14"/>
                <w:szCs w:val="14"/>
                <w:b w:val="1"/>
                <w:bCs w:val="1"/>
                <w:color w:val="auto"/>
                <w:w w:val="85"/>
              </w:rPr>
              <w:t>July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46,920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17,685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18,922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w:t>
            </w:r>
          </w:p>
        </w:tc>
      </w:tr>
      <w:tr>
        <w:trPr>
          <w:trHeight w:val="210"/>
        </w:trPr>
        <w:tc>
          <w:tcPr>
            <w:tcW w:w="44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101,358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45,119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67,990</w:t>
            </w:r>
          </w:p>
        </w:tc>
        <w:tc>
          <w:tcPr>
            <w:tcW w:w="16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Customers located in the United States accounted for 69%, 65%, 66% and 65% of total revenue for the year ended January 31, 2016 and 2017 and the six months ended July 31, 2016 and 2017 (unaudited), respectively. Customers located in the United Kingdom accounted for 11%, 11%, and 10% for the year ended January 31, 2017 and the six months ended July 31, 2016 and 2017 (unaudited), respectively. No other country accounted for 10% or more of revenue for the periods presented.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2016 and 2017 and July 31, 2017 (unaudited), substantially all of our long-lived assets were located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All contracts with related parties are executed in ordinary course of business. There were no material related party transactions in the fiscal years ending January 31, 2016 or 2017 or the six months ended July 31, 2017 (unaudited). As of January 31, 2016 and 2017 and July 31, 2017 (unaudited), there were no material amounts payable to or amounts receivable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evaluated subsequent events through June 7, 2017, which is the date the annual audited consolidated financial statements were issued.</w:t>
      </w:r>
    </w:p>
    <w:p>
      <w:pPr>
        <w:spacing w:after="0" w:line="24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April 5, 2017, our Board of Directors authorized an additional 6,000,000 shares to our 2016 Plan which increased the number of shares of Class A common stock reserved for future issuance.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2017, we granted stock options to purchase an aggregate of 4,226,750 shares of Class A common stock with an exercise price of $4.20 per share.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These stock options have a grant date fair value of $7.7 million that is expected to be recognized over a weighted-average requisite service period of four years.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preparing the unaudited interim consolidated financial statements as of July 31, 2017 and for the six months then ended, we have evaluated subsequent events through September 19, 2017, the date the unaudited interim consolidated financial statements were issued.</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August 2017, we entered into non-cancellable capacity commitments with a hosting infrastructure vendor for a total value of $6.1 million over the next three years.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September 2017, we granted stock options to purchase an aggregate of 1,323,200 shares of Class A common stock with an exercise price of $6.75 per share. These stock options have a grant date fair value of $3.8 million that is expected to be recognized over a weighted-average requisite service period of four years.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7978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779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43840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438404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Class A common stock being registered. All amounts shown are estimates except for the Securities and Exchange Commission, or SEC, registration fee, the Financial Industry Regulatory Authority, or FINRA, filing fee and the exchange listing fee.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 to</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be Paid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initial listing fee</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the Delaware General Corporation Law, (A) our amended and restated certificate of incorporation will provide that we are authorized to indemnify our directors and officers (and any other persons whom applicable law permits) to the fullest extent permitted by Delaware law and (B) our amended and restated bylaws will provide that: (1) we are required to indemnify our directors and executive officers to the fullest extent permitted by the Delaware General Corporation Law; (2) we may, in our discretion, indemnify our other officers, employees and agents as set forth in the Delaware General Corporation Law; (3) we are required, upon satisfaction of certain conditions, to advance all expenses incurred by our directors and executive officers in connection with certain legal proceedings; (4) the rights conferred in the amended and restated bylaws are not exclusive; (5) we are authorized to enter into indemnification agreements with our directors, officers, employees and agents and (6) we may secure insurance on behalf of any director, officer, employee or other agent for any liability arising out of his or her actions in that capacity regardless of whether we would otherwise be permitted to indemnify him or her under the provisions of Delaware law.</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policy is to enter into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These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7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of 1933, as amended, or the Securities Act, or otherwise. Our amended and restated investors' rights agreement with certain stockholders also provides for cross-indemnification in connection with the registration of our common stock on behalf of such investors.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undertakings set forth in response to Item 17 herein.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list sets forth information regarding all unregistered securities issued by us since February 1, 2014 through the date of the prospectus that is a part of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Options to Purchase Common Stock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February 1, 2014 through the date of this registration statement, we granted (1) under our 2008 Plan, options to purchase an aggregate of 22,474,129 shares of our common stock to a total of 827 employees, consultants and directors, having exercise prices ranging from $3.25 to $8.68 per share and (2) under our 2016 Plan, options and RSUs to purchase an aggregate of 7,613,050 shares of our common stock to a total of 701 employees, consultants and directors, having exercise prices ranging from $3.79 to $6.75 per share. 2,315,319 of the options granted under the 2008 Plan have been exercised and 264,975 of the options granted under the 2016 Plan have been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and received the securities under our equity incentive plans. Appropriate legends were affixed to the securities issued in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Redeemable Convertible Preferred Stock</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December 2014, we issued 4,783,506 shares of our Series F redeemable convertible preferred stock to nine accredited investors at a price of $16.724127 per share, for aggregate consideration of approximately $80.0 million. In January 2017, we issued an additional 2,092,785 shares of our Series F redeemable convertible preferred stock to one accredited investor at a price of $16.724127 per share, for aggregate consideration of approximately $35.0 million.</w:t>
      </w:r>
    </w:p>
    <w:p>
      <w:pPr>
        <w:spacing w:after="0" w:line="14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this registration statement are listed in the Exhibit Index attached hereto and incorporated by reference herein.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consolidated financial statements or related notes, which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360" w:firstLine="359"/>
        <w:spacing w:after="0" w:line="306" w:lineRule="auto"/>
        <w:tabs>
          <w:tab w:leader="none" w:pos="122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14605</wp:posOffset>
            </wp:positionV>
            <wp:extent cx="52400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20" w:space="720"/>
            <w:col w:w="4779"/>
          </w:cols>
          <w:pgMar w:left="240" w:top="131" w:right="1440" w:bottom="1440" w:gutter="0" w:footer="0" w:header="0"/>
          <w:type w:val="continuous"/>
        </w:sectPr>
      </w:pPr>
    </w:p>
    <w:p>
      <w:pPr>
        <w:ind w:left="15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840" w:type="dxa"/>
            <w:vAlign w:val="bottom"/>
          </w:tcPr>
          <w:p>
            <w:pPr>
              <w:ind w:left="400"/>
              <w:spacing w:after="0"/>
              <w:rPr>
                <w:sz w:val="20"/>
                <w:szCs w:val="20"/>
                <w:color w:val="auto"/>
              </w:rPr>
            </w:pPr>
            <w:r>
              <w:rPr>
                <w:rFonts w:ascii="Arial" w:cs="Arial" w:eastAsia="Arial" w:hAnsi="Arial"/>
                <w:sz w:val="18"/>
                <w:szCs w:val="18"/>
                <w:color w:val="auto"/>
              </w:rPr>
              <w:t>3.1*</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89"/>
              </w:rPr>
              <w:t>Tenth Amended and Restated Certificate of Incorporation of the Registrant as amended and as currently in effect</w:t>
            </w:r>
          </w:p>
        </w:tc>
      </w:tr>
      <w:tr>
        <w:trPr>
          <w:trHeight w:val="426"/>
        </w:trPr>
        <w:tc>
          <w:tcPr>
            <w:tcW w:w="840" w:type="dxa"/>
            <w:vAlign w:val="bottom"/>
          </w:tcPr>
          <w:p>
            <w:pPr>
              <w:ind w:left="400"/>
              <w:spacing w:after="0"/>
              <w:rPr>
                <w:sz w:val="20"/>
                <w:szCs w:val="20"/>
                <w:color w:val="auto"/>
              </w:rPr>
            </w:pPr>
            <w:r>
              <w:rPr>
                <w:rFonts w:ascii="Arial" w:cs="Arial" w:eastAsia="Arial" w:hAnsi="Arial"/>
                <w:sz w:val="18"/>
                <w:szCs w:val="18"/>
                <w:color w:val="auto"/>
              </w:rPr>
              <w:t>3.2†</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90"/>
              </w:rPr>
              <w:t>Form of Amended and Restated Certificate of Incorporation of the Registrant to be effective upon closing of this</w:t>
            </w:r>
          </w:p>
        </w:tc>
      </w:tr>
      <w:tr>
        <w:trPr>
          <w:trHeight w:val="222"/>
        </w:trPr>
        <w:tc>
          <w:tcPr>
            <w:tcW w:w="84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offering</w:t>
            </w:r>
          </w:p>
        </w:tc>
        <w:tc>
          <w:tcPr>
            <w:tcW w:w="5840" w:type="dxa"/>
            <w:vAlign w:val="bottom"/>
          </w:tcPr>
          <w:p>
            <w:pPr>
              <w:spacing w:after="0"/>
              <w:rPr>
                <w:sz w:val="19"/>
                <w:szCs w:val="19"/>
                <w:color w:val="auto"/>
              </w:rPr>
            </w:pPr>
          </w:p>
        </w:tc>
      </w:tr>
      <w:tr>
        <w:trPr>
          <w:trHeight w:val="432"/>
        </w:trPr>
        <w:tc>
          <w:tcPr>
            <w:tcW w:w="840" w:type="dxa"/>
            <w:vAlign w:val="bottom"/>
          </w:tcPr>
          <w:p>
            <w:pPr>
              <w:ind w:left="400"/>
              <w:spacing w:after="0"/>
              <w:rPr>
                <w:sz w:val="20"/>
                <w:szCs w:val="20"/>
                <w:color w:val="auto"/>
              </w:rPr>
            </w:pPr>
            <w:r>
              <w:rPr>
                <w:rFonts w:ascii="Arial" w:cs="Arial" w:eastAsia="Arial" w:hAnsi="Arial"/>
                <w:sz w:val="18"/>
                <w:szCs w:val="18"/>
                <w:color w:val="auto"/>
              </w:rPr>
              <w:t>3.3*</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Bylaws of the Registrant, as amended and as currently in effect</w:t>
            </w:r>
          </w:p>
        </w:tc>
      </w:tr>
      <w:tr>
        <w:trPr>
          <w:trHeight w:val="432"/>
        </w:trPr>
        <w:tc>
          <w:tcPr>
            <w:tcW w:w="840" w:type="dxa"/>
            <w:vAlign w:val="bottom"/>
          </w:tcPr>
          <w:p>
            <w:pPr>
              <w:ind w:left="400"/>
              <w:spacing w:after="0"/>
              <w:rPr>
                <w:sz w:val="20"/>
                <w:szCs w:val="20"/>
                <w:color w:val="auto"/>
              </w:rPr>
            </w:pPr>
            <w:r>
              <w:rPr>
                <w:rFonts w:ascii="Arial" w:cs="Arial" w:eastAsia="Arial" w:hAnsi="Arial"/>
                <w:sz w:val="18"/>
                <w:szCs w:val="18"/>
                <w:color w:val="auto"/>
              </w:rPr>
              <w:t>3.4†</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Form of Amended and Restated Bylaws of the Registrant to be effective upon closing of this offering</w:t>
            </w:r>
          </w:p>
        </w:tc>
      </w:tr>
      <w:tr>
        <w:trPr>
          <w:trHeight w:val="432"/>
        </w:trPr>
        <w:tc>
          <w:tcPr>
            <w:tcW w:w="840" w:type="dxa"/>
            <w:vAlign w:val="bottom"/>
          </w:tcPr>
          <w:p>
            <w:pPr>
              <w:ind w:left="400"/>
              <w:spacing w:after="0"/>
              <w:rPr>
                <w:sz w:val="20"/>
                <w:szCs w:val="20"/>
                <w:color w:val="auto"/>
              </w:rPr>
            </w:pPr>
            <w:r>
              <w:rPr>
                <w:rFonts w:ascii="Arial" w:cs="Arial" w:eastAsia="Arial" w:hAnsi="Arial"/>
                <w:sz w:val="18"/>
                <w:szCs w:val="18"/>
                <w:color w:val="auto"/>
              </w:rPr>
              <w:t>4.1†</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Form of Class A common stock certificate of the Registrant</w:t>
            </w:r>
          </w:p>
        </w:tc>
      </w:tr>
      <w:tr>
        <w:trPr>
          <w:trHeight w:val="426"/>
        </w:trPr>
        <w:tc>
          <w:tcPr>
            <w:tcW w:w="840" w:type="dxa"/>
            <w:vAlign w:val="bottom"/>
          </w:tcPr>
          <w:p>
            <w:pPr>
              <w:ind w:left="400"/>
              <w:spacing w:after="0"/>
              <w:rPr>
                <w:sz w:val="20"/>
                <w:szCs w:val="20"/>
                <w:color w:val="auto"/>
              </w:rPr>
            </w:pPr>
            <w:r>
              <w:rPr>
                <w:rFonts w:ascii="Arial" w:cs="Arial" w:eastAsia="Arial" w:hAnsi="Arial"/>
                <w:sz w:val="18"/>
                <w:szCs w:val="18"/>
                <w:color w:val="auto"/>
              </w:rPr>
              <w:t>4.2*</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96"/>
              </w:rPr>
              <w:t>Fifth Amended and Restated Investors' Rights Agreement by and among the Registrant and certain of its</w:t>
            </w:r>
          </w:p>
        </w:tc>
      </w:tr>
      <w:tr>
        <w:trPr>
          <w:trHeight w:val="222"/>
        </w:trPr>
        <w:tc>
          <w:tcPr>
            <w:tcW w:w="84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stockholders, dated October 2, 2013</w:t>
            </w:r>
          </w:p>
        </w:tc>
      </w:tr>
      <w:tr>
        <w:trPr>
          <w:trHeight w:val="432"/>
        </w:trPr>
        <w:tc>
          <w:tcPr>
            <w:tcW w:w="840" w:type="dxa"/>
            <w:vAlign w:val="bottom"/>
          </w:tcPr>
          <w:p>
            <w:pPr>
              <w:ind w:left="400"/>
              <w:spacing w:after="0"/>
              <w:rPr>
                <w:sz w:val="20"/>
                <w:szCs w:val="20"/>
                <w:color w:val="auto"/>
              </w:rPr>
            </w:pPr>
            <w:r>
              <w:rPr>
                <w:rFonts w:ascii="Arial" w:cs="Arial" w:eastAsia="Arial" w:hAnsi="Arial"/>
                <w:sz w:val="18"/>
                <w:szCs w:val="18"/>
                <w:color w:val="auto"/>
              </w:rPr>
              <w:t>5.1†</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Opinion of Cooley LLP</w:t>
            </w:r>
          </w:p>
        </w:tc>
        <w:tc>
          <w:tcPr>
            <w:tcW w:w="5840" w:type="dxa"/>
            <w:vAlign w:val="bottom"/>
          </w:tcPr>
          <w:p>
            <w:pPr>
              <w:spacing w:after="0"/>
              <w:rPr>
                <w:sz w:val="24"/>
                <w:szCs w:val="24"/>
                <w:color w:val="auto"/>
              </w:rPr>
            </w:pP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95"/>
              </w:rPr>
              <w:t>10.1+*</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89"/>
              </w:rPr>
              <w:t>2008 Stock Incentive Plan and Forms of Option Agreement and Exercise Notice thereunder, as amended to date</w:t>
            </w:r>
          </w:p>
        </w:tc>
      </w:tr>
      <w:tr>
        <w:trPr>
          <w:trHeight w:val="426"/>
        </w:trPr>
        <w:tc>
          <w:tcPr>
            <w:tcW w:w="8920" w:type="dxa"/>
            <w:vAlign w:val="bottom"/>
            <w:gridSpan w:val="4"/>
          </w:tcPr>
          <w:p>
            <w:pPr>
              <w:ind w:left="320"/>
              <w:spacing w:after="0"/>
              <w:rPr>
                <w:sz w:val="20"/>
                <w:szCs w:val="20"/>
                <w:color w:val="auto"/>
              </w:rPr>
            </w:pPr>
            <w:r>
              <w:rPr>
                <w:rFonts w:ascii="Arial" w:cs="Arial" w:eastAsia="Arial" w:hAnsi="Arial"/>
                <w:sz w:val="18"/>
                <w:szCs w:val="18"/>
                <w:color w:val="auto"/>
                <w:w w:val="88"/>
              </w:rPr>
              <w:t>10.2+† Amended and Restated 2016 Equity Incentive Plan and Forms of Stock Option Agreement, Notice of Exercise and</w:t>
            </w:r>
          </w:p>
        </w:tc>
      </w:tr>
      <w:tr>
        <w:trPr>
          <w:trHeight w:val="222"/>
        </w:trPr>
        <w:tc>
          <w:tcPr>
            <w:tcW w:w="84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Stock Option Grant Notice thereunder</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10.3+†</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93"/>
              </w:rPr>
              <w:t>2016 China Stock Appreciation Rights Plan and Form of China Stock Appreciation Rights Award Agreement</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10.4+†</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2017 Employee Stock Purchase Plan</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10.5+†</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w w:val="88"/>
              </w:rPr>
              <w:t>Form of Indemnification Agreement by and between the Registrant and each of its directors and executive officers</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10.6+†</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Offer Letter, dated as of July 29, 2014, by and between the Registrant and Dev Ittycheria</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10.7+†</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Offer Letter, dated as of November 26, 2014, by and between the Registrant and Carlos Delatorre</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10.8+†</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Offer Letter, dated as of May 26, 2015, by and between the Registrant and Michael Gordon</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w w:val="89"/>
              </w:rPr>
              <w:t>10.9+†</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Offer Letter, dated</w:t>
            </w:r>
          </w:p>
        </w:tc>
        <w:tc>
          <w:tcPr>
            <w:tcW w:w="5840" w:type="dxa"/>
            <w:vAlign w:val="bottom"/>
          </w:tcPr>
          <w:p>
            <w:pPr>
              <w:ind w:left="140"/>
              <w:spacing w:after="0"/>
              <w:rPr>
                <w:sz w:val="20"/>
                <w:szCs w:val="20"/>
                <w:color w:val="auto"/>
              </w:rPr>
            </w:pPr>
            <w:r>
              <w:rPr>
                <w:rFonts w:ascii="Arial" w:cs="Arial" w:eastAsia="Arial" w:hAnsi="Arial"/>
                <w:sz w:val="18"/>
                <w:szCs w:val="18"/>
                <w:color w:val="auto"/>
              </w:rPr>
              <w:t>, by and between Registrant and Eliot Horowitz</w:t>
            </w:r>
          </w:p>
        </w:tc>
      </w:tr>
      <w:tr>
        <w:trPr>
          <w:trHeight w:val="432"/>
        </w:trPr>
        <w:tc>
          <w:tcPr>
            <w:tcW w:w="840" w:type="dxa"/>
            <w:vAlign w:val="bottom"/>
          </w:tcPr>
          <w:p>
            <w:pPr>
              <w:ind w:left="220"/>
              <w:spacing w:after="0"/>
              <w:rPr>
                <w:sz w:val="20"/>
                <w:szCs w:val="20"/>
                <w:color w:val="auto"/>
              </w:rPr>
            </w:pPr>
            <w:r>
              <w:rPr>
                <w:rFonts w:ascii="Arial" w:cs="Arial" w:eastAsia="Arial" w:hAnsi="Arial"/>
                <w:sz w:val="18"/>
                <w:szCs w:val="18"/>
                <w:color w:val="auto"/>
                <w:w w:val="91"/>
              </w:rPr>
              <w:t>10.10+†</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Offer Letter, dated</w:t>
            </w:r>
          </w:p>
        </w:tc>
        <w:tc>
          <w:tcPr>
            <w:tcW w:w="5840" w:type="dxa"/>
            <w:vAlign w:val="bottom"/>
          </w:tcPr>
          <w:p>
            <w:pPr>
              <w:ind w:left="140"/>
              <w:spacing w:after="0"/>
              <w:rPr>
                <w:sz w:val="20"/>
                <w:szCs w:val="20"/>
                <w:color w:val="auto"/>
              </w:rPr>
            </w:pPr>
            <w:r>
              <w:rPr>
                <w:rFonts w:ascii="Arial" w:cs="Arial" w:eastAsia="Arial" w:hAnsi="Arial"/>
                <w:sz w:val="18"/>
                <w:szCs w:val="18"/>
                <w:color w:val="auto"/>
              </w:rPr>
              <w:t>, by and between Registrant and Meagen Eisenberg</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rPr>
              <w:t>21.1*</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w w:val="93"/>
              </w:rPr>
              <w:t>Subsidiaries of the Registrant</w:t>
            </w:r>
          </w:p>
        </w:tc>
        <w:tc>
          <w:tcPr>
            <w:tcW w:w="5840" w:type="dxa"/>
            <w:vAlign w:val="bottom"/>
          </w:tcPr>
          <w:p>
            <w:pPr>
              <w:spacing w:after="0"/>
              <w:rPr>
                <w:sz w:val="24"/>
                <w:szCs w:val="24"/>
                <w:color w:val="auto"/>
              </w:rPr>
            </w:pP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rPr>
              <w:t>23.1†</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rPr>
              <w:t>23.2†</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Consent of Cooley LLP (included in Exhibit 5.1)</w:t>
            </w:r>
          </w:p>
        </w:tc>
      </w:tr>
      <w:tr>
        <w:trPr>
          <w:trHeight w:val="432"/>
        </w:trPr>
        <w:tc>
          <w:tcPr>
            <w:tcW w:w="840" w:type="dxa"/>
            <w:vAlign w:val="bottom"/>
          </w:tcPr>
          <w:p>
            <w:pPr>
              <w:ind w:left="320"/>
              <w:spacing w:after="0"/>
              <w:rPr>
                <w:sz w:val="20"/>
                <w:szCs w:val="20"/>
                <w:color w:val="auto"/>
              </w:rPr>
            </w:pPr>
            <w:r>
              <w:rPr>
                <w:rFonts w:ascii="Arial" w:cs="Arial" w:eastAsia="Arial" w:hAnsi="Arial"/>
                <w:sz w:val="18"/>
                <w:szCs w:val="18"/>
                <w:color w:val="auto"/>
              </w:rPr>
              <w:t>24.1†</w:t>
            </w: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Power of Attorney (reference is made to the signature page hereto)</w:t>
            </w:r>
          </w:p>
        </w:tc>
      </w:tr>
      <w:tr>
        <w:trPr>
          <w:trHeight w:val="110"/>
        </w:trPr>
        <w:tc>
          <w:tcPr>
            <w:tcW w:w="8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8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submitted.</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7" w:name="page208"/>
    <w:bookmarkEnd w:id="2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6060" w:val="left"/>
          <w:tab w:leader="none" w:pos="7020" w:val="left"/>
        </w:tabs>
        <w:rPr>
          <w:sz w:val="20"/>
          <w:szCs w:val="20"/>
          <w:color w:val="auto"/>
        </w:rPr>
      </w:pPr>
      <w:r>
        <w:rPr>
          <w:rFonts w:ascii="Arial" w:cs="Arial" w:eastAsia="Arial" w:hAnsi="Arial"/>
          <w:sz w:val="18"/>
          <w:szCs w:val="18"/>
          <w:color w:val="auto"/>
        </w:rPr>
        <w:t>by the undersigned, thereunto duly authorized, in New York, New York,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MONGODB, INC.</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Dev Ittycheria</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Dev Ittycheria and Michael Gordon, and each of them, his or her true and lawful agent, proxy and attorney-in-fact, with full power of substitution and resubstitution, for him or her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660" w:type="dxa"/>
            <w:vAlign w:val="bottom"/>
            <w:tcBorders>
              <w:bottom w:val="single" w:sz="8" w:color="auto"/>
            </w:tcBorders>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Dev Ittycheria</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Gordon</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Corporate Controller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Thomas Bull</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41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6"/>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7"/>
              </w:rPr>
              <w:t>Kevin P. Ryan</w:t>
            </w:r>
          </w:p>
        </w:tc>
        <w:tc>
          <w:tcPr>
            <w:tcW w:w="4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3660" w:type="dxa"/>
            <w:vAlign w:val="bottom"/>
            <w:tcBorders>
              <w:bottom w:val="single" w:sz="8" w:color="auto"/>
            </w:tcBorders>
          </w:tcPr>
          <w:p>
            <w:pPr>
              <w:spacing w:after="0"/>
              <w:rPr>
                <w:sz w:val="10"/>
                <w:szCs w:val="10"/>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0"/>
              </w:rPr>
              <w:t>Roelof Botha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Hope Cochran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Charles M. Hazard, Jr.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6"/>
              </w:rPr>
              <w:t>Eliot Horowitz</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32"/>
              <w:spacing w:after="0"/>
              <w:rPr>
                <w:sz w:val="20"/>
                <w:szCs w:val="20"/>
                <w:color w:val="auto"/>
              </w:rPr>
            </w:pPr>
            <w:r>
              <w:rPr>
                <w:rFonts w:ascii="Arial" w:cs="Arial" w:eastAsia="Arial" w:hAnsi="Arial"/>
                <w:sz w:val="18"/>
                <w:szCs w:val="18"/>
                <w:color w:val="auto"/>
                <w:w w:val="92"/>
              </w:rPr>
              <w:t>Tom Killalea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9"/>
              </w:rPr>
              <w:t>John McMahon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lvl w:ilvl="1">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2"/>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3"/>
    </w:lvl>
  </w:abstractNum>
  <w:abstractNum w:abstractNumId="15">
    <w:nsid w:val="1F48EAA1"/>
    <w:multiLevelType w:val="hybridMultilevel"/>
    <w:lvl w:ilvl="0">
      <w:lvlJc w:val="left"/>
      <w:lvlText w:val="(%1)"/>
      <w:numFmt w:val="decimal"/>
      <w:start w:val="4"/>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2"/>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
      <w:numFmt w:val="bullet"/>
      <w:start w:val="1"/>
    </w:lvl>
    <w:lvl w:ilvl="1">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lvl w:ilvl="1">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decimal"/>
      <w:start w:val="1"/>
    </w:lvl>
  </w:abstractNum>
  <w:abstractNum w:abstractNumId="54">
    <w:nsid w:val="885E1B"/>
    <w:multiLevelType w:val="hybridMultilevel"/>
    <w:lvl w:ilvl="0">
      <w:lvlJc w:val="left"/>
      <w:lvlText w:val="%1"/>
      <w:numFmt w:val="decimal"/>
      <w:start w:val="36"/>
    </w:lvl>
  </w:abstractNum>
  <w:abstractNum w:abstractNumId="55">
    <w:nsid w:val="76272110"/>
    <w:multiLevelType w:val="hybridMultilevel"/>
    <w:lvl w:ilvl="0">
      <w:lvlJc w:val="left"/>
      <w:lvlText w:val="%1"/>
      <w:numFmt w:val="decimal"/>
      <w:start w:val="47"/>
    </w:lvl>
  </w:abstractNum>
  <w:abstractNum w:abstractNumId="56">
    <w:nsid w:val="4C04A8AF"/>
    <w:multiLevelType w:val="hybridMultilevel"/>
    <w:lvl w:ilvl="0">
      <w:lvlJc w:val="left"/>
      <w:lvlText w:val="%1"/>
      <w:numFmt w:val="decimal"/>
      <w:start w:val="51"/>
    </w:lvl>
  </w:abstractNum>
  <w:abstractNum w:abstractNumId="57">
    <w:nsid w:val="1716703B"/>
    <w:multiLevelType w:val="hybridMultilevel"/>
    <w:lvl w:ilvl="0">
      <w:lvlJc w:val="left"/>
      <w:lvlText w:val="%1"/>
      <w:numFmt w:val="decimal"/>
      <w:start w:val="42"/>
    </w:lvl>
  </w:abstractNum>
  <w:abstractNum w:abstractNumId="58">
    <w:nsid w:val="14E17E33"/>
    <w:multiLevelType w:val="hybridMultilevel"/>
    <w:lvl w:ilvl="0">
      <w:lvlJc w:val="left"/>
      <w:lvlText w:val="%1"/>
      <w:numFmt w:val="decimal"/>
      <w:start w:val="53"/>
    </w:lvl>
  </w:abstractNum>
  <w:abstractNum w:abstractNumId="59">
    <w:nsid w:val="3222E7CD"/>
    <w:multiLevelType w:val="hybridMultilevel"/>
    <w:lvl w:ilvl="0">
      <w:lvlJc w:val="left"/>
      <w:lvlText w:val="%1"/>
      <w:numFmt w:val="decimal"/>
      <w:start w:val="43"/>
    </w:lvl>
  </w:abstractNum>
  <w:abstractNum w:abstractNumId="60">
    <w:nsid w:val="74DE0EE3"/>
    <w:multiLevelType w:val="hybridMultilevel"/>
    <w:lvl w:ilvl="0">
      <w:lvlJc w:val="left"/>
      <w:lvlText w:val="%1"/>
      <w:numFmt w:val="decimal"/>
      <w:start w:val="45"/>
    </w:lvl>
  </w:abstractNum>
  <w:abstractNum w:abstractNumId="61">
    <w:nsid w:val="68EBC550"/>
    <w:multiLevelType w:val="hybridMultilevel"/>
    <w:lvl w:ilvl="0">
      <w:lvlJc w:val="left"/>
      <w:lvlText w:val="%1"/>
      <w:numFmt w:val="decimal"/>
      <w:start w:val="50"/>
    </w:lvl>
  </w:abstractNum>
  <w:abstractNum w:abstractNumId="62">
    <w:nsid w:val="2DF6D648"/>
    <w:multiLevelType w:val="hybridMultilevel"/>
    <w:lvl w:ilvl="0">
      <w:lvlJc w:val="left"/>
      <w:lvlText w:val="%1"/>
      <w:numFmt w:val="decimal"/>
      <w:start w:val="50"/>
    </w:lvl>
  </w:abstractNum>
  <w:abstractNum w:abstractNumId="63">
    <w:nsid w:val="46B7D447"/>
    <w:multiLevelType w:val="hybridMultilevel"/>
    <w:lvl w:ilvl="0">
      <w:lvlJc w:val="left"/>
      <w:lvlText w:val="%1"/>
      <w:numFmt w:val="decimal"/>
      <w:start w:val="6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decimal"/>
      <w:start w:val="1"/>
    </w:lvl>
    <w:lvl w:ilvl="1">
      <w:lvlJc w:val="left"/>
      <w:lvlText w:val="(%2)"/>
      <w:numFmt w:val="lowerLetter"/>
      <w:start w:val="2"/>
    </w:lvl>
  </w:abstractNum>
  <w:abstractNum w:abstractNumId="70">
    <w:nsid w:val="26F324BA"/>
    <w:multiLevelType w:val="hybridMultilevel"/>
    <w:lvl w:ilvl="0">
      <w:lvlJc w:val="left"/>
      <w:lvlText w:val="(%1)"/>
      <w:numFmt w:val="decimal"/>
      <w:start w:val="3"/>
    </w:lvl>
    <w:lvl w:ilvl="1">
      <w:lvlJc w:val="left"/>
      <w:lvlText w:val="%2"/>
      <w:numFmt w:val="lowerLetter"/>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1)"/>
      <w:numFmt w:val="lowerRoman"/>
      <w:start w:val="2"/>
    </w:lvl>
    <w:lvl w:ilvl="1">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1)"/>
      <w:numFmt w:val="decimal"/>
      <w:start w:val="9"/>
    </w:lvl>
  </w:abstractNum>
  <w:abstractNum w:abstractNumId="77">
    <w:nsid w:val="5FB8011C"/>
    <w:multiLevelType w:val="hybridMultilevel"/>
    <w:lvl w:ilvl="0">
      <w:lvlJc w:val="left"/>
      <w:lvlText w:val="(%1)"/>
      <w:numFmt w:val="decimal"/>
      <w:start w:val="13"/>
    </w:lvl>
  </w:abstractNum>
  <w:abstractNum w:abstractNumId="78">
    <w:nsid w:val="6AA78F7F"/>
    <w:multiLevelType w:val="hybridMultilevel"/>
    <w:lvl w:ilvl="0">
      <w:lvlJc w:val="left"/>
      <w:lvlText w:val="(%1)"/>
      <w:numFmt w:val="decimal"/>
      <w:start w:val="18"/>
    </w:lvl>
  </w:abstractNum>
  <w:abstractNum w:abstractNumId="79">
    <w:nsid w:val="7672BD23"/>
    <w:multiLevelType w:val="hybridMultilevel"/>
    <w:lvl w:ilvl="0">
      <w:lvlJc w:val="left"/>
      <w:lvlText w:val="(%1)"/>
      <w:numFmt w:val="decimal"/>
      <w:start w:val="37"/>
    </w:lvl>
  </w:abstractNum>
  <w:abstractNum w:abstractNumId="80">
    <w:nsid w:val="6FC75AF8"/>
    <w:multiLevelType w:val="hybridMultilevel"/>
    <w:lvl w:ilvl="0">
      <w:lvlJc w:val="left"/>
      <w:lvlText w:val="(%1)"/>
      <w:numFmt w:val="lowerRoman"/>
      <w:start w:val="2"/>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2"/>
    </w:lvl>
    <w:lvl w:ilvl="1">
      <w:lvlJc w:val="left"/>
      <w:lvlText w:val="(%2)"/>
      <w:numFmt w:val="lowerLetter"/>
      <w:start w:val="2"/>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1)"/>
      <w:numFmt w:val="decimal"/>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1."/>
      <w:numFmt w:val="decimal"/>
      <w:start w:val="10"/>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2019-12-07T09:44:16Z</dcterms:created>
  <dcterms:modified xsi:type="dcterms:W3CDTF">2019-12-07T09:44:16Z</dcterms:modified>
</cp:coreProperties>
</file>