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October 16, 2017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ectPr>
          <w:pgSz w:w="11900" w:h="16838" w:orient="portrait"/>
          <w:cols w:equalWidth="0" w:num="1">
            <w:col w:w="11420"/>
          </w:cols>
          <w:pgMar w:left="240" w:top="449" w:right="239" w:bottom="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MongoDB,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S-1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333-220557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380"/>
            <w:col w:w="10760"/>
          </w:cols>
          <w:pgMar w:left="240" w:top="449" w:right="239" w:bottom="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"/>
        <w:spacing w:after="0" w:line="3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Acceleration Request Requested Date: Requested Time: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Wednesday, October 18, 2017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4:00 p.m., Eastern Daylight Time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700"/>
          </w:cols>
          <w:pgMar w:left="240" w:top="449" w:right="239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460 under the Securities Act of 1933, as amended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Securities Act</w:t>
      </w:r>
      <w:r>
        <w:rPr>
          <w:rFonts w:ascii="Arial" w:cs="Arial" w:eastAsia="Arial" w:hAnsi="Arial"/>
          <w:sz w:val="18"/>
          <w:szCs w:val="18"/>
          <w:color w:val="auto"/>
        </w:rPr>
        <w:t>”), we, the representatives of the underwriters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Representatives</w:t>
      </w:r>
      <w:r>
        <w:rPr>
          <w:rFonts w:ascii="Arial" w:cs="Arial" w:eastAsia="Arial" w:hAnsi="Arial"/>
          <w:sz w:val="18"/>
          <w:szCs w:val="18"/>
          <w:color w:val="auto"/>
        </w:rPr>
        <w:t>”), wish to advise you that between October 6, 2017 and October 16, 2017 at 5:00 p.m., Eastern Daylight Time, 5,640 copies of the Preliminary Prospectus of MongoDB, Inc., a Delaware corporation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8"/>
          <w:szCs w:val="18"/>
          <w:color w:val="auto"/>
        </w:rPr>
        <w:t>”), dated October 6, 2017, were distributed to prospective underwriters/dealers, institutional and other investors and others.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right="28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We, the undersigned Representatives, have and will, and we have been informed by the participating underwriters that they have and will, comply with the requirements of Rule 15c2-8 under the Securities Exchange Act of 1934, as amended, in connection with the proposed offering.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right="22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with Rule 461 of the Securities Act, we hereby join in the request of the Registrant that the effectiveness of the above-captioned Registration Statement, as amended, be accelerated to 4:00 p.m. Eastern Daylight Time on October 18, 2017, or as soon thereafter as practicable. We, the undersigned Representatives, confirm that the underwriters are aware of their obligations under the Securities Act.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218440</wp:posOffset>
            </wp:positionV>
            <wp:extent cx="7267575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MORGAN STANLEY &amp; CO. LLC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GOLDMAN SACHS &amp; CO. LLC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BARCLAYS CAPITAL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As representatives of the several underwriters listed in Schedule I to the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Underwriting Agreement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MORGAN STANLEY &amp; CO. LLC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57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Andrew Daly</w:t>
            </w:r>
          </w:p>
        </w:tc>
      </w:tr>
      <w:tr>
        <w:trPr>
          <w:trHeight w:val="19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120" w:type="dxa"/>
            <w:vAlign w:val="bottom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Andrew Daly</w:t>
            </w:r>
          </w:p>
        </w:tc>
      </w:tr>
      <w:tr>
        <w:trPr>
          <w:trHeight w:val="23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</w:t>
            </w:r>
          </w:p>
        </w:tc>
      </w:tr>
      <w:tr>
        <w:trPr>
          <w:trHeight w:val="432"/>
        </w:trPr>
        <w:tc>
          <w:tcPr>
            <w:tcW w:w="5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GOLDMAN SACHS &amp; CO. LLC</w:t>
            </w:r>
          </w:p>
        </w:tc>
      </w:tr>
      <w:tr>
        <w:trPr>
          <w:trHeight w:val="43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Matt Leavitt</w:t>
            </w:r>
          </w:p>
        </w:tc>
      </w:tr>
      <w:tr>
        <w:trPr>
          <w:trHeight w:val="19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120" w:type="dxa"/>
            <w:vAlign w:val="bottom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Matt Leavitt</w:t>
            </w:r>
          </w:p>
        </w:tc>
      </w:tr>
      <w:tr>
        <w:trPr>
          <w:trHeight w:val="23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Managing Director</w:t>
            </w:r>
          </w:p>
        </w:tc>
      </w:tr>
      <w:tr>
        <w:trPr>
          <w:trHeight w:val="432"/>
        </w:trPr>
        <w:tc>
          <w:tcPr>
            <w:tcW w:w="5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BARCLAYS CAPITAL INC.</w:t>
            </w:r>
          </w:p>
        </w:tc>
      </w:tr>
      <w:tr>
        <w:trPr>
          <w:trHeight w:val="43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Victoria Hale</w:t>
            </w:r>
          </w:p>
        </w:tc>
      </w:tr>
      <w:tr>
        <w:trPr>
          <w:trHeight w:val="19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120" w:type="dxa"/>
            <w:vAlign w:val="bottom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Victoria Hale</w:t>
            </w:r>
          </w:p>
        </w:tc>
      </w:tr>
      <w:tr>
        <w:trPr>
          <w:trHeight w:val="23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cc: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Dev Ittycheria, President and Chief Executive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 Gordon, Chief Financial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Andrew Stephens, Esq., General Counsel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MongoDB, Inc.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Jeffrey D. Saper, Esq.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 C. Labriola, Esq.</w:t>
      </w:r>
    </w:p>
    <w:p>
      <w:pPr>
        <w:sectPr>
          <w:pgSz w:w="11900" w:h="16838" w:orient="portrait"/>
          <w:cols w:equalWidth="0" w:num="1">
            <w:col w:w="11420"/>
          </w:cols>
          <w:pgMar w:left="240" w:top="449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Megan J. Baier, Esq.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Wilson Sonsini Goodrich &amp; Rosati, P.C.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Babak Yaghmaie, Esq.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Eric Jensen, Esq.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Nicole Brookshire, Esq.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Cooley LLP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right"/>
        <w:ind w:right="2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 Page to Underwriter Acceleration Request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220980</wp:posOffset>
            </wp:positionV>
            <wp:extent cx="7267575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219"/>
      </w:cols>
      <w:pgMar w:left="24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2019-12-07T09:59:30Z</dcterms:created>
  <dcterms:modified xsi:type="dcterms:W3CDTF">2019-12-07T09:59:30Z</dcterms:modified>
</cp:coreProperties>
</file>