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16"/>
          <w:szCs w:val="16"/>
          <w:color w:val="auto"/>
        </w:rPr>
        <w:t>As filed with the U.S. Securities and Exchange Commission on March 30,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85090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80"/>
          </w:cols>
          <w:pgMar w:left="580" w:top="476" w:right="439" w:bottom="1440" w:gutter="0" w:footer="0" w:header="0"/>
        </w:sectPr>
      </w:pPr>
    </w:p>
    <w:p>
      <w:pPr>
        <w:spacing w:after="0" w:line="200" w:lineRule="exact"/>
        <w:rPr>
          <w:sz w:val="24"/>
          <w:szCs w:val="24"/>
          <w:color w:val="auto"/>
        </w:rPr>
      </w:pPr>
    </w:p>
    <w:p>
      <w:pPr>
        <w:spacing w:after="0" w:line="292" w:lineRule="exact"/>
        <w:rPr>
          <w:sz w:val="24"/>
          <w:szCs w:val="24"/>
          <w:color w:val="auto"/>
        </w:rPr>
      </w:pPr>
    </w:p>
    <w:p>
      <w:pPr>
        <w:jc w:val="center"/>
        <w:ind w:right="1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20"/>
        <w:spacing w:after="0"/>
        <w:rPr>
          <w:sz w:val="20"/>
          <w:szCs w:val="20"/>
          <w:color w:val="auto"/>
        </w:rPr>
      </w:pPr>
      <w:r>
        <w:rPr>
          <w:rFonts w:ascii="Arial" w:cs="Arial" w:eastAsia="Arial" w:hAnsi="Arial"/>
          <w:sz w:val="27"/>
          <w:szCs w:val="27"/>
          <w:b w:val="1"/>
          <w:bCs w:val="1"/>
          <w:color w:val="auto"/>
        </w:rPr>
        <w:t>SECURITIES AND EXCHANGE COMMISSION</w:t>
      </w:r>
    </w:p>
    <w:p>
      <w:pPr>
        <w:spacing w:after="0" w:line="11"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Washington, D.C. 20549</w:t>
      </w:r>
    </w:p>
    <w:p>
      <w:pPr>
        <w:spacing w:after="0" w:line="398" w:lineRule="exact"/>
        <w:rPr>
          <w:sz w:val="24"/>
          <w:szCs w:val="24"/>
          <w:color w:val="auto"/>
        </w:rPr>
      </w:pPr>
    </w:p>
    <w:p>
      <w:pPr>
        <w:jc w:val="center"/>
        <w:ind w:right="120"/>
        <w:spacing w:after="0"/>
        <w:rPr>
          <w:sz w:val="20"/>
          <w:szCs w:val="20"/>
          <w:color w:val="auto"/>
        </w:rPr>
      </w:pPr>
      <w:r>
        <w:rPr>
          <w:rFonts w:ascii="Arial" w:cs="Arial" w:eastAsia="Arial" w:hAnsi="Arial"/>
          <w:sz w:val="27"/>
          <w:szCs w:val="27"/>
          <w:b w:val="1"/>
          <w:bCs w:val="1"/>
          <w:color w:val="auto"/>
        </w:rPr>
        <w:t>FORM S-8</w:t>
      </w:r>
    </w:p>
    <w:p>
      <w:pPr>
        <w:spacing w:after="0" w:line="3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REGISTRATION STATEMENT</w:t>
      </w:r>
    </w:p>
    <w:p>
      <w:pPr>
        <w:spacing w:after="0" w:line="4"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UNDER</w:t>
      </w:r>
    </w:p>
    <w:p>
      <w:pPr>
        <w:spacing w:after="0" w:line="4"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THE SECURITIES ACT OF 1933</w:t>
      </w:r>
    </w:p>
    <w:p>
      <w:pPr>
        <w:spacing w:after="0" w:line="72"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MongoDB, Inc.</w:t>
      </w:r>
    </w:p>
    <w:p>
      <w:pPr>
        <w:spacing w:after="0" w:line="42"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(Exact name of Registrant as specified in its charter)</w:t>
      </w:r>
    </w:p>
    <w:p>
      <w:pPr>
        <w:spacing w:after="0" w:line="372" w:lineRule="exact"/>
        <w:rPr>
          <w:sz w:val="24"/>
          <w:szCs w:val="24"/>
          <w:color w:val="auto"/>
        </w:rPr>
      </w:pPr>
    </w:p>
    <w:p>
      <w:pPr>
        <w:ind w:left="1860"/>
        <w:spacing w:after="0"/>
        <w:tabs>
          <w:tab w:leader="none" w:pos="85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26-1463205</w:t>
      </w:r>
    </w:p>
    <w:p>
      <w:pPr>
        <w:spacing w:after="0" w:line="90" w:lineRule="exact"/>
        <w:rPr>
          <w:sz w:val="24"/>
          <w:szCs w:val="24"/>
          <w:color w:val="auto"/>
        </w:rPr>
      </w:pPr>
    </w:p>
    <w:p>
      <w:pPr>
        <w:ind w:left="240"/>
        <w:spacing w:after="0"/>
        <w:tabs>
          <w:tab w:leader="none" w:pos="7720" w:val="left"/>
        </w:tabs>
        <w:rPr>
          <w:sz w:val="20"/>
          <w:szCs w:val="20"/>
          <w:color w:val="auto"/>
        </w:rPr>
      </w:pPr>
      <w:r>
        <w:rPr>
          <w:rFonts w:ascii="Arial" w:cs="Arial" w:eastAsia="Arial" w:hAnsi="Arial"/>
          <w:sz w:val="16"/>
          <w:szCs w:val="16"/>
          <w:color w:val="auto"/>
        </w:rPr>
        <w:t>(State or other jurisdiction of Incorporation or organization)</w:t>
      </w:r>
      <w:r>
        <w:rPr>
          <w:sz w:val="20"/>
          <w:szCs w:val="20"/>
          <w:color w:val="auto"/>
        </w:rPr>
        <w:tab/>
      </w:r>
      <w:r>
        <w:rPr>
          <w:rFonts w:ascii="Arial" w:cs="Arial" w:eastAsia="Arial" w:hAnsi="Arial"/>
          <w:sz w:val="15"/>
          <w:szCs w:val="15"/>
          <w:color w:val="auto"/>
        </w:rPr>
        <w:t>(I.R.S. Employer Identification No.)</w:t>
      </w:r>
    </w:p>
    <w:p>
      <w:pPr>
        <w:spacing w:after="0" w:line="307"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229 W. 43rd Street, 5th Floor</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646-727-4092</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22"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MongoDB, Inc. 2016 Equity Incentive Plan</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MongoDB, Inc. 2017 Employee Stock Purchase Plan</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(Full titles of the plans)</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w:t>
      </w:r>
    </w:p>
    <w:p>
      <w:pPr>
        <w:spacing w:after="0" w:line="20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Dev Ittycheria</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MongoDB, Inc.</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229 W. 43rd Street, 5th Floor</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646-727-4092</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10"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Copies to:</w:t>
      </w:r>
    </w:p>
    <w:p>
      <w:pPr>
        <w:spacing w:after="0" w:line="221"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Nicole Brookshire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1114 Avenue of the Americas</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212-479-6000</w:t>
      </w:r>
    </w:p>
    <w:p>
      <w:pPr>
        <w:spacing w:after="0" w:line="15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4"/>
          <w:szCs w:val="24"/>
          <w:color w:val="auto"/>
        </w:rPr>
      </w:pPr>
    </w:p>
    <w:tbl>
      <w:tblPr>
        <w:tblLayout w:type="fixed"/>
        <w:tblInd w:w="580" w:type="dxa"/>
        <w:tblCellMar>
          <w:top w:w="0" w:type="dxa"/>
          <w:left w:w="0" w:type="dxa"/>
          <w:bottom w:w="0" w:type="dxa"/>
          <w:right w:w="0" w:type="dxa"/>
        </w:tblCellMar>
      </w:tblPr>
      <w:tr>
        <w:trPr>
          <w:trHeight w:val="29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40" w:type="dxa"/>
            <w:vAlign w:val="bottom"/>
          </w:tcPr>
          <w:p>
            <w:pPr>
              <w:ind w:left="480"/>
              <w:spacing w:after="0" w:line="221" w:lineRule="exact"/>
              <w:rPr>
                <w:sz w:val="20"/>
                <w:szCs w:val="20"/>
                <w:color w:val="auto"/>
              </w:rPr>
            </w:pPr>
            <w:r>
              <w:rPr>
                <w:rFonts w:ascii="MS PGothic" w:cs="MS PGothic" w:eastAsia="MS PGothic" w:hAnsi="MS PGothic"/>
                <w:sz w:val="22"/>
                <w:szCs w:val="22"/>
                <w:color w:val="auto"/>
              </w:rPr>
              <w:t>☐</w:t>
            </w:r>
          </w:p>
        </w:tc>
        <w:tc>
          <w:tcPr>
            <w:tcW w:w="260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r>
      <w:tr>
        <w:trPr>
          <w:trHeight w:val="405"/>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4440" w:type="dxa"/>
            <w:vAlign w:val="bottom"/>
          </w:tcPr>
          <w:p>
            <w:pPr>
              <w:ind w:left="480"/>
              <w:spacing w:after="0" w:line="322" w:lineRule="exact"/>
              <w:rPr>
                <w:sz w:val="20"/>
                <w:szCs w:val="20"/>
                <w:color w:val="auto"/>
              </w:rPr>
            </w:pPr>
            <w:r>
              <w:rPr>
                <w:rFonts w:ascii="MS PGothic" w:cs="MS PGothic" w:eastAsia="MS PGothic" w:hAnsi="MS PGothic"/>
                <w:sz w:val="28"/>
                <w:szCs w:val="28"/>
                <w:color w:val="auto"/>
                <w:w w:val="99"/>
              </w:rPr>
              <w:t>☑</w:t>
            </w:r>
            <w:r>
              <w:rPr>
                <w:rFonts w:ascii="Arial" w:cs="Arial" w:eastAsia="Arial" w:hAnsi="Arial"/>
                <w:sz w:val="18"/>
                <w:szCs w:val="18"/>
                <w:color w:val="auto"/>
                <w:w w:val="99"/>
              </w:rPr>
              <w:t xml:space="preserve"> (Do not check if a smaller reporting company)</w:t>
            </w:r>
          </w:p>
        </w:tc>
        <w:tc>
          <w:tcPr>
            <w:tcW w:w="260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r>
      <w:tr>
        <w:trPr>
          <w:trHeight w:val="453"/>
        </w:trPr>
        <w:tc>
          <w:tcPr>
            <w:tcW w:w="2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320"/>
              <w:spacing w:after="0" w:line="291" w:lineRule="exact"/>
              <w:rPr>
                <w:sz w:val="20"/>
                <w:szCs w:val="20"/>
                <w:color w:val="auto"/>
              </w:rPr>
            </w:pPr>
            <w:r>
              <w:rPr>
                <w:rFonts w:ascii="MS PGothic" w:cs="MS PGothic" w:eastAsia="MS PGothic" w:hAnsi="MS PGothic"/>
                <w:sz w:val="29"/>
                <w:szCs w:val="29"/>
                <w:color w:val="auto"/>
                <w:w w:val="82"/>
              </w:rPr>
              <w:t>☑</w:t>
            </w:r>
          </w:p>
        </w:tc>
      </w:tr>
    </w:tbl>
    <w:p>
      <w:pPr>
        <w:sectPr>
          <w:pgSz w:w="11900" w:h="16838" w:orient="portrait"/>
          <w:cols w:equalWidth="0" w:num="1">
            <w:col w:w="10880"/>
          </w:cols>
          <w:pgMar w:left="580" w:top="476" w:right="439" w:bottom="1440" w:gutter="0" w:footer="0" w:header="0"/>
          <w:type w:val="continuous"/>
        </w:sectPr>
      </w:pPr>
    </w:p>
    <w:bookmarkStart w:id="1" w:name="page2"/>
    <w:bookmarkEnd w:id="1"/>
    <w:p>
      <w:pPr>
        <w:ind w:left="340" w:right="20"/>
        <w:spacing w:after="0" w:line="25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680" w:type="dxa"/>
            <w:vAlign w:val="bottom"/>
            <w:tcBorders>
              <w:top w:val="single" w:sz="8" w:color="auto"/>
              <w:bottom w:val="single" w:sz="8" w:color="auto"/>
            </w:tcBorders>
          </w:tcPr>
          <w:p>
            <w:pPr>
              <w:spacing w:after="0"/>
              <w:rPr>
                <w:sz w:val="3"/>
                <w:szCs w:val="3"/>
                <w:color w:val="auto"/>
              </w:rPr>
            </w:pPr>
          </w:p>
        </w:tc>
        <w:tc>
          <w:tcPr>
            <w:tcW w:w="284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284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b w:val="1"/>
                <w:bCs w:val="1"/>
                <w:color w:val="auto"/>
                <w:w w:val="89"/>
              </w:rPr>
              <w:t>Title of Securities</w:t>
            </w:r>
          </w:p>
        </w:tc>
        <w:tc>
          <w:tcPr>
            <w:tcW w:w="24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1"/>
              </w:rPr>
              <w:t>Proposed Maximum</w:t>
            </w:r>
          </w:p>
        </w:tc>
        <w:tc>
          <w:tcPr>
            <w:tcW w:w="16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1"/>
              </w:rPr>
              <w:t>Proposed Maximum</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840" w:type="dxa"/>
            <w:vAlign w:val="bottom"/>
            <w:tcBorders>
              <w:right w:val="single" w:sz="8" w:color="auto"/>
            </w:tcBorders>
            <w:vMerge w:val="restart"/>
          </w:tcPr>
          <w:p>
            <w:pPr>
              <w:jc w:val="center"/>
              <w:ind w:right="590"/>
              <w:spacing w:after="0"/>
              <w:rPr>
                <w:sz w:val="20"/>
                <w:szCs w:val="20"/>
                <w:color w:val="auto"/>
              </w:rPr>
            </w:pPr>
            <w:r>
              <w:rPr>
                <w:rFonts w:ascii="Arial" w:cs="Arial" w:eastAsia="Arial" w:hAnsi="Arial"/>
                <w:sz w:val="18"/>
                <w:szCs w:val="18"/>
                <w:b w:val="1"/>
                <w:bCs w:val="1"/>
                <w:color w:val="auto"/>
                <w:w w:val="87"/>
              </w:rPr>
              <w:t>to be Registered</w:t>
            </w:r>
          </w:p>
        </w:tc>
        <w:tc>
          <w:tcPr>
            <w:tcW w:w="24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8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vMerge w:val="continue"/>
          </w:tcPr>
          <w:p>
            <w:pPr>
              <w:spacing w:after="0"/>
              <w:rPr>
                <w:sz w:val="22"/>
                <w:szCs w:val="22"/>
                <w:color w:val="auto"/>
              </w:rPr>
            </w:pPr>
          </w:p>
        </w:tc>
        <w:tc>
          <w:tcPr>
            <w:tcW w:w="2400" w:type="dxa"/>
            <w:vAlign w:val="bottom"/>
            <w:tcBorders>
              <w:bottom w:val="single" w:sz="8" w:color="auto"/>
              <w:right w:val="single" w:sz="8" w:color="auto"/>
            </w:tcBorders>
          </w:tcPr>
          <w:p>
            <w:pPr>
              <w:ind w:left="160"/>
              <w:spacing w:after="0" w:line="262" w:lineRule="exact"/>
              <w:rPr>
                <w:sz w:val="20"/>
                <w:szCs w:val="20"/>
                <w:color w:val="auto"/>
              </w:rPr>
            </w:pPr>
            <w:r>
              <w:rPr>
                <w:rFonts w:ascii="Arial" w:cs="Arial" w:eastAsia="Arial" w:hAnsi="Arial"/>
                <w:sz w:val="18"/>
                <w:szCs w:val="18"/>
                <w:b w:val="1"/>
                <w:bCs w:val="1"/>
                <w:color w:val="auto"/>
                <w:w w:val="93"/>
              </w:rPr>
              <w:t>Amount to be Registered</w:t>
            </w:r>
            <w:r>
              <w:rPr>
                <w:rFonts w:ascii="Arial" w:cs="Arial" w:eastAsia="Arial" w:hAnsi="Arial"/>
                <w:sz w:val="25"/>
                <w:szCs w:val="25"/>
                <w:b w:val="1"/>
                <w:bCs w:val="1"/>
                <w:color w:val="auto"/>
                <w:w w:val="93"/>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222"/>
        </w:trPr>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Class A Common Stock, par value $0.001 per</w:t>
            </w:r>
          </w:p>
        </w:tc>
        <w:tc>
          <w:tcPr>
            <w:tcW w:w="240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share</w:t>
            </w:r>
          </w:p>
        </w:tc>
        <w:tc>
          <w:tcPr>
            <w:tcW w:w="284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0"/>
              </w:rPr>
              <w:t>– 2016</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240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color w:val="auto"/>
                <w:w w:val="85"/>
              </w:rPr>
              <w:t>2,681,452</w:t>
            </w:r>
            <w:r>
              <w:rPr>
                <w:rFonts w:ascii="Arial" w:cs="Arial" w:eastAsia="Arial" w:hAnsi="Arial"/>
                <w:sz w:val="25"/>
                <w:szCs w:val="25"/>
                <w:color w:val="auto"/>
                <w:w w:val="85"/>
                <w:vertAlign w:val="superscript"/>
              </w:rPr>
              <w:t>(2)</w:t>
            </w:r>
          </w:p>
        </w:tc>
        <w:tc>
          <w:tcPr>
            <w:tcW w:w="2260" w:type="dxa"/>
            <w:vAlign w:val="bottom"/>
            <w:tcBorders>
              <w:bottom w:val="single" w:sz="8" w:color="auto"/>
              <w:right w:val="single" w:sz="8" w:color="auto"/>
            </w:tcBorders>
          </w:tcPr>
          <w:p>
            <w:pPr>
              <w:jc w:val="right"/>
              <w:ind w:right="710"/>
              <w:spacing w:after="0" w:line="264" w:lineRule="exact"/>
              <w:rPr>
                <w:sz w:val="20"/>
                <w:szCs w:val="20"/>
                <w:color w:val="auto"/>
              </w:rPr>
            </w:pPr>
            <w:r>
              <w:rPr>
                <w:rFonts w:ascii="Arial" w:cs="Arial" w:eastAsia="Arial" w:hAnsi="Arial"/>
                <w:sz w:val="18"/>
                <w:szCs w:val="18"/>
                <w:color w:val="auto"/>
              </w:rPr>
              <w:t>$39.59</w:t>
            </w:r>
            <w:r>
              <w:rPr>
                <w:rFonts w:ascii="Arial" w:cs="Arial" w:eastAsia="Arial" w:hAnsi="Arial"/>
                <w:sz w:val="25"/>
                <w:szCs w:val="25"/>
                <w:color w:val="auto"/>
                <w:vertAlign w:val="superscript"/>
              </w:rPr>
              <w:t>(4)</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$106,158,685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$13,217</w:t>
            </w:r>
          </w:p>
        </w:tc>
        <w:tc>
          <w:tcPr>
            <w:tcW w:w="0" w:type="dxa"/>
            <w:vAlign w:val="bottom"/>
          </w:tcPr>
          <w:p>
            <w:pPr>
              <w:spacing w:after="0"/>
              <w:rPr>
                <w:sz w:val="1"/>
                <w:szCs w:val="1"/>
                <w:color w:val="auto"/>
              </w:rPr>
            </w:pPr>
          </w:p>
        </w:tc>
      </w:tr>
      <w:tr>
        <w:trPr>
          <w:trHeight w:val="264"/>
        </w:trPr>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0"/>
              </w:rPr>
              <w:t>– 2017</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240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color w:val="auto"/>
                <w:w w:val="86"/>
              </w:rPr>
              <w:t>505,755</w:t>
            </w:r>
            <w:r>
              <w:rPr>
                <w:rFonts w:ascii="Arial" w:cs="Arial" w:eastAsia="Arial" w:hAnsi="Arial"/>
                <w:sz w:val="25"/>
                <w:szCs w:val="25"/>
                <w:color w:val="auto"/>
                <w:w w:val="86"/>
                <w:vertAlign w:val="superscript"/>
              </w:rPr>
              <w:t>(3)</w:t>
            </w:r>
          </w:p>
        </w:tc>
        <w:tc>
          <w:tcPr>
            <w:tcW w:w="22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color w:val="auto"/>
                <w:w w:val="84"/>
              </w:rPr>
              <w:t>$33.66</w:t>
            </w:r>
            <w:r>
              <w:rPr>
                <w:rFonts w:ascii="Arial" w:cs="Arial" w:eastAsia="Arial" w:hAnsi="Arial"/>
                <w:sz w:val="25"/>
                <w:szCs w:val="25"/>
                <w:color w:val="auto"/>
                <w:w w:val="84"/>
                <w:vertAlign w:val="superscript"/>
              </w:rPr>
              <w:t>(5)</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$17,023,714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$2,120</w:t>
            </w:r>
          </w:p>
        </w:tc>
        <w:tc>
          <w:tcPr>
            <w:tcW w:w="0" w:type="dxa"/>
            <w:vAlign w:val="bottom"/>
          </w:tcPr>
          <w:p>
            <w:pPr>
              <w:spacing w:after="0"/>
              <w:rPr>
                <w:sz w:val="1"/>
                <w:szCs w:val="1"/>
                <w:color w:val="auto"/>
              </w:rPr>
            </w:pPr>
          </w:p>
        </w:tc>
      </w:tr>
      <w:tr>
        <w:trPr>
          <w:trHeight w:val="237"/>
        </w:trPr>
        <w:tc>
          <w:tcPr>
            <w:tcW w:w="680" w:type="dxa"/>
            <w:vAlign w:val="bottom"/>
          </w:tcPr>
          <w:p>
            <w:pPr>
              <w:ind w:left="20"/>
              <w:spacing w:after="0"/>
              <w:rPr>
                <w:sz w:val="20"/>
                <w:szCs w:val="20"/>
                <w:color w:val="auto"/>
              </w:rPr>
            </w:pPr>
            <w:r>
              <w:rPr>
                <w:rFonts w:ascii="Arial" w:cs="Arial" w:eastAsia="Arial" w:hAnsi="Arial"/>
                <w:sz w:val="18"/>
                <w:szCs w:val="18"/>
                <w:color w:val="auto"/>
              </w:rPr>
              <w:t>Total</w:t>
            </w:r>
          </w:p>
        </w:tc>
        <w:tc>
          <w:tcPr>
            <w:tcW w:w="284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3,187,207</w:t>
            </w:r>
          </w:p>
        </w:tc>
        <w:tc>
          <w:tcPr>
            <w:tcW w:w="22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$123,182,399</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$15,337</w:t>
            </w: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Class A common stock that become issuable under the plans set forth herein by reason of any stock dividend, stock split, recapitalization, or other similar transaction effected that results in an increase to the number of outstanding shares of Registrant’s Class A common stock.</w:t>
      </w:r>
    </w:p>
    <w:p>
      <w:pPr>
        <w:spacing w:after="0" w:line="14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(i) an automatic annual increase equal to 5% of the total number of shares of the Registrant’s capital stock outstanding on the last day of the immediately preceding fiscal year to the aggregate number of shares of the Registrant’s Class A common stock reserved for issuance under, and which annual increase is provided by, the Registrant’s 2016 Equity Incentive Plan (as amended, the “</w:t>
      </w:r>
      <w:r>
        <w:rPr>
          <w:rFonts w:ascii="Arial" w:cs="Arial" w:eastAsia="Arial" w:hAnsi="Arial"/>
          <w:sz w:val="18"/>
          <w:szCs w:val="18"/>
          <w:b w:val="1"/>
          <w:bCs w:val="1"/>
          <w:i w:val="1"/>
          <w:iCs w:val="1"/>
          <w:color w:val="auto"/>
        </w:rPr>
        <w:t>2016 Plan</w:t>
      </w:r>
      <w:r>
        <w:rPr>
          <w:rFonts w:ascii="Arial" w:cs="Arial" w:eastAsia="Arial" w:hAnsi="Arial"/>
          <w:sz w:val="18"/>
          <w:szCs w:val="18"/>
          <w:color w:val="auto"/>
        </w:rPr>
        <w:t>”) plus (ii) 152,674 shares of the Registrant's Class A common stock that have become available for issuance under the 2016 Plan as a result of the forfeiture, termination, expiration or repurchase of stock options or other stock awards that had been granted the Registrant's 2008 Stock Incentive Plan, pursuant to the terms of the 2016 Plan.</w:t>
      </w:r>
    </w:p>
    <w:p>
      <w:pPr>
        <w:spacing w:after="0" w:line="152"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equal to 1% of the total number of shares of the Registrant’s capital stock outstanding on the last day of the immediately preceding fiscal year to the aggregate number of shares of the Registrant’s Class A common stock reserved for issuance under, and which annual increase is provided by, the Registrant’s 2017 Employee Stock Purchase Plan (the “</w:t>
      </w:r>
      <w:r>
        <w:rPr>
          <w:rFonts w:ascii="Arial" w:cs="Arial" w:eastAsia="Arial" w:hAnsi="Arial"/>
          <w:sz w:val="18"/>
          <w:szCs w:val="18"/>
          <w:b w:val="1"/>
          <w:bCs w:val="1"/>
          <w:i w:val="1"/>
          <w:iCs w:val="1"/>
          <w:color w:val="auto"/>
        </w:rPr>
        <w:t>2017 ESPP</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457(c) and (h) solely for purposes of calculating the registration fee on the basis of $39.59, the average of the high and low prices of the Registrant’s Class A common stock as reported on the Nasdaq Global Select Market on March 23, 2018.</w:t>
      </w:r>
    </w:p>
    <w:p>
      <w:pPr>
        <w:spacing w:after="0" w:line="10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and (h) solely for the purpose of calculating the registration fee on the basis of $33.66, the average of the high and low prices of the Registrant’s Class A common stock as reported on the Nasdaq Global Select Market on March 23, 2018, multiplied by 85%, which is the percentage of the price per share applicable to purchases under the 2017 ESPP.</w:t>
      </w:r>
    </w:p>
    <w:p>
      <w:pPr>
        <w:sectPr>
          <w:pgSz w:w="11900" w:h="16838" w:orient="portrait"/>
          <w:cols w:equalWidth="0" w:num="1">
            <w:col w:w="11420"/>
          </w:cols>
          <w:pgMar w:left="240" w:top="395" w:right="239" w:bottom="1440" w:gutter="0" w:footer="0" w:header="0"/>
        </w:sectPr>
      </w:pPr>
    </w:p>
    <w:bookmarkStart w:id="2" w:name="page3"/>
    <w:bookmarkEnd w:id="2"/>
    <w:p>
      <w:pPr>
        <w:ind w:left="3880"/>
        <w:spacing w:after="0"/>
        <w:rPr>
          <w:sz w:val="20"/>
          <w:szCs w:val="20"/>
          <w:color w:val="auto"/>
        </w:rPr>
      </w:pPr>
      <w:r>
        <w:rPr>
          <w:rFonts w:ascii="Arial" w:cs="Arial" w:eastAsia="Arial" w:hAnsi="Arial"/>
          <w:sz w:val="18"/>
          <w:szCs w:val="18"/>
          <w:b w:val="1"/>
          <w:bCs w:val="1"/>
          <w:color w:val="auto"/>
        </w:rPr>
        <w:t>REGISTRATION OF ADDITIONAL SHARES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PURSUANT TO GENERAL INSTRUCTION E</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Pursuant to General Instruction E of Form S-8, MongoDB, Inc.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is filing this Registration Statement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to register (1) 2,681,452 additional shares of its Class A common stock under the 2016 Plan, pursuant to the provisions of the 2016 Plan providing for an automatic increase in the number of shares Class A common stock reserved and available for issuance under the 2016 Plan on February 1, 2018 and (2) 505,755 additional shares of its Class A common stock under the 2017 ESPP, pursuant to the provisions of 2017 ESPP providing for an automatic increase in the number of shares of Class A common stock reserved and available for issuance under the 2017 ESPP on February 1, 2018. In accordance with the instructional note to Part I of Form S-8 as promulgated by the Commission, the information specified by Part I of the Form S-8 has been omitted from this Registration Statement.</w:t>
      </w:r>
    </w:p>
    <w:p>
      <w:pPr>
        <w:spacing w:after="0" w:line="17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INCORPORATION OF CERTAIN DOCUMENTS BY REFERENCE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with the Commission are incorporated by reference into this Registration Statement:</w:t>
      </w:r>
    </w:p>
    <w:p>
      <w:pPr>
        <w:spacing w:after="0" w:line="212" w:lineRule="exact"/>
        <w:rPr>
          <w:sz w:val="20"/>
          <w:szCs w:val="20"/>
          <w:color w:val="auto"/>
        </w:rPr>
      </w:pPr>
    </w:p>
    <w:p>
      <w:pPr>
        <w:ind w:left="1520" w:hanging="864"/>
        <w:spacing w:after="0"/>
        <w:tabs>
          <w:tab w:leader="none" w:pos="15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The contents of the Registrant’s Registration Statement on Form S-8 (File No. 333-221028), filed with the Commission on October 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5" w:lineRule="exact"/>
        <w:rPr>
          <w:sz w:val="20"/>
          <w:szCs w:val="20"/>
          <w:color w:val="auto"/>
        </w:rPr>
      </w:pPr>
    </w:p>
    <w:p>
      <w:pPr>
        <w:ind w:left="1520" w:hanging="864"/>
        <w:spacing w:after="0"/>
        <w:tabs>
          <w:tab w:leader="none" w:pos="152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The Registrant’s Annual Report on Form 10-K for the fiscal year ended January 31, 2018, filed with the Commission on March 30,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5" w:lineRule="exact"/>
        <w:rPr>
          <w:sz w:val="20"/>
          <w:szCs w:val="20"/>
          <w:color w:val="auto"/>
        </w:rPr>
      </w:pPr>
    </w:p>
    <w:p>
      <w:pPr>
        <w:jc w:val="both"/>
        <w:ind w:firstLine="656"/>
        <w:spacing w:after="0" w:line="311" w:lineRule="auto"/>
        <w:tabs>
          <w:tab w:leader="none" w:pos="1496"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 other reports of the Registrant filed pursuant to Sections 13(a) or 15(d)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since the end of the fiscal year covered by the Registrant’s Annual Report referred to in (1) above (other than Current Reports furnished under Item 2.02 or Item 7.01 of Form 8-K and exhibits furnished on such form that relate to such items).</w:t>
      </w:r>
    </w:p>
    <w:p>
      <w:pPr>
        <w:spacing w:after="0" w:line="140" w:lineRule="exact"/>
        <w:rPr>
          <w:rFonts w:ascii="Arial" w:cs="Arial" w:eastAsia="Arial" w:hAnsi="Arial"/>
          <w:sz w:val="18"/>
          <w:szCs w:val="18"/>
          <w:b w:val="1"/>
          <w:bCs w:val="1"/>
          <w:color w:val="auto"/>
        </w:rPr>
      </w:pPr>
    </w:p>
    <w:p>
      <w:pPr>
        <w:ind w:firstLine="656"/>
        <w:spacing w:after="0" w:line="357" w:lineRule="auto"/>
        <w:tabs>
          <w:tab w:leader="none" w:pos="1516"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description of the Registrant’s Class A common stock, which is contained in a registration statement on Form 8-A filed on October 10, 2017 (File No. 001-38240) under the Exchange Act, including any amendment or report filed for the purpose of updating such description.</w:t>
      </w:r>
    </w:p>
    <w:p>
      <w:pPr>
        <w:spacing w:after="0" w:line="107" w:lineRule="exact"/>
        <w:rPr>
          <w:rFonts w:ascii="Arial" w:cs="Arial" w:eastAsia="Arial" w:hAnsi="Arial"/>
          <w:sz w:val="17"/>
          <w:szCs w:val="17"/>
          <w:b w:val="1"/>
          <w:bCs w:val="1"/>
          <w:color w:val="auto"/>
        </w:rPr>
      </w:pPr>
    </w:p>
    <w:p>
      <w:pPr>
        <w:jc w:val="both"/>
        <w:ind w:firstLine="656"/>
        <w:spacing w:after="0" w:line="343" w:lineRule="auto"/>
        <w:tabs>
          <w:tab w:leader="none" w:pos="1496"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420"/>
          </w:cols>
          <w:pgMar w:left="240" w:top="621" w:right="239" w:bottom="1440" w:gutter="0" w:footer="0" w:header="0"/>
        </w:sectPr>
      </w:pPr>
    </w:p>
    <w:bookmarkStart w:id="3" w:name="page4"/>
    <w:bookmarkEnd w:id="3"/>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32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3996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96" w:lineRule="exact"/>
        <w:rPr>
          <w:sz w:val="20"/>
          <w:szCs w:val="20"/>
          <w:color w:val="auto"/>
        </w:rPr>
      </w:pPr>
    </w:p>
    <w:p>
      <w:pPr>
        <w:ind w:left="108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0">
        <w:r>
          <w:rPr>
            <w:rFonts w:ascii="Arial" w:cs="Arial" w:eastAsia="Arial" w:hAnsi="Arial"/>
            <w:sz w:val="18"/>
            <w:szCs w:val="18"/>
            <w:u w:val="single" w:color="auto"/>
            <w:color w:val="0000FF"/>
          </w:rPr>
          <w:t>Amended and Restated Certificate of Incorporation of the Registrant, as</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currently in effect</w:t>
        </w:r>
      </w:hyperlink>
    </w:p>
    <w:p>
      <w:pPr>
        <w:spacing w:after="0" w:line="8" w:lineRule="exact"/>
        <w:rPr>
          <w:sz w:val="20"/>
          <w:szCs w:val="20"/>
          <w:color w:val="auto"/>
        </w:rPr>
      </w:pPr>
    </w:p>
    <w:p>
      <w:pPr>
        <w:ind w:left="6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11">
        <w:r>
          <w:rPr>
            <w:rFonts w:ascii="Arial" w:cs="Arial" w:eastAsia="Arial" w:hAnsi="Arial"/>
            <w:sz w:val="16"/>
            <w:szCs w:val="16"/>
            <w:u w:val="single" w:color="auto"/>
            <w:color w:val="0000FF"/>
          </w:rPr>
          <w:t>Amended and Restated Bylaws of the Registrant, as currently in effect</w:t>
        </w:r>
      </w:hyperlink>
    </w:p>
    <w:p>
      <w:pPr>
        <w:spacing w:after="0" w:line="63" w:lineRule="exact"/>
        <w:rPr>
          <w:sz w:val="20"/>
          <w:szCs w:val="20"/>
          <w:color w:val="auto"/>
        </w:rPr>
      </w:pPr>
    </w:p>
    <w:p>
      <w:pPr>
        <w:ind w:left="6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12">
        <w:r>
          <w:rPr>
            <w:rFonts w:ascii="Arial" w:cs="Arial" w:eastAsia="Arial" w:hAnsi="Arial"/>
            <w:sz w:val="16"/>
            <w:szCs w:val="16"/>
            <w:u w:val="single" w:color="auto"/>
            <w:color w:val="0000FF"/>
          </w:rPr>
          <w:t>Form of Class A common stock certificate of the Registrant</w:t>
        </w:r>
      </w:hyperlink>
    </w:p>
    <w:p>
      <w:pPr>
        <w:spacing w:after="0" w:line="63"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FF"/>
        </w:rPr>
        <w:t>Opinion of Cooley LLP</w:t>
      </w:r>
    </w:p>
    <w:p>
      <w:pPr>
        <w:spacing w:after="0" w:line="63" w:lineRule="exact"/>
        <w:rPr>
          <w:sz w:val="20"/>
          <w:szCs w:val="20"/>
          <w:color w:val="auto"/>
        </w:rPr>
      </w:pPr>
    </w:p>
    <w:p>
      <w:pPr>
        <w:ind w:left="1080" w:hanging="580"/>
        <w:spacing w:after="0" w:line="277" w:lineRule="auto"/>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u w:val="single" w:color="auto"/>
          <w:color w:val="0000FF"/>
        </w:rPr>
        <w:t>Consent of PricewaterhouseCoopers LLP, independent registered public accounting firm</w:t>
      </w:r>
    </w:p>
    <w:p>
      <w:pPr>
        <w:spacing w:after="0" w:line="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FF"/>
        </w:rPr>
        <w:t>Consent of Cooley LLP (included in Exhibit 5.1)</w:t>
      </w:r>
    </w:p>
    <w:p>
      <w:pPr>
        <w:spacing w:after="0" w:line="63"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5">
        <w:r>
          <w:rPr>
            <w:rFonts w:ascii="Arial" w:cs="Arial" w:eastAsia="Arial" w:hAnsi="Arial"/>
            <w:sz w:val="16"/>
            <w:szCs w:val="16"/>
            <w:u w:val="single" w:color="auto"/>
            <w:color w:val="0000EE"/>
          </w:rPr>
          <w:t>Power of Attorney (included on the signature page of this Form S-8)</w:t>
        </w:r>
      </w:hyperlink>
    </w:p>
    <w:p>
      <w:pPr>
        <w:spacing w:after="0" w:line="63" w:lineRule="exact"/>
        <w:rPr>
          <w:sz w:val="20"/>
          <w:szCs w:val="20"/>
          <w:color w:val="auto"/>
        </w:rPr>
      </w:pPr>
    </w:p>
    <w:p>
      <w:pPr>
        <w:jc w:val="both"/>
        <w:ind w:left="1080" w:right="40" w:hanging="489"/>
        <w:spacing w:after="0" w:line="286"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99.1</w:t>
      </w:r>
      <w:r>
        <w:rPr>
          <w:sz w:val="20"/>
          <w:szCs w:val="20"/>
          <w:color w:val="auto"/>
        </w:rPr>
        <w:tab/>
      </w:r>
      <w:hyperlink r:id="rId13">
        <w:r>
          <w:rPr>
            <w:rFonts w:ascii="Arial" w:cs="Arial" w:eastAsia="Arial" w:hAnsi="Arial"/>
            <w:sz w:val="17"/>
            <w:szCs w:val="17"/>
            <w:u w:val="single" w:color="auto"/>
            <w:color w:val="0000FF"/>
          </w:rPr>
          <w:t>Amended and Restated 2016 Equity Incentive Plan and Forms of Stock</w:t>
        </w:r>
      </w:hyperlink>
      <w:r>
        <w:rPr>
          <w:rFonts w:ascii="Arial" w:cs="Arial" w:eastAsia="Arial" w:hAnsi="Arial"/>
          <w:sz w:val="17"/>
          <w:szCs w:val="17"/>
          <w:u w:val="single" w:color="auto"/>
          <w:color w:val="0000FF"/>
        </w:rPr>
        <w:t xml:space="preserve"> </w:t>
      </w:r>
      <w:hyperlink r:id="rId13">
        <w:r>
          <w:rPr>
            <w:rFonts w:ascii="Arial" w:cs="Arial" w:eastAsia="Arial" w:hAnsi="Arial"/>
            <w:sz w:val="17"/>
            <w:szCs w:val="17"/>
            <w:u w:val="single" w:color="auto"/>
            <w:color w:val="0000FF"/>
          </w:rPr>
          <w:t>Option Agreement, Notice of Exercise, Stock Option Grant Notice and</w:t>
        </w:r>
      </w:hyperlink>
      <w:r>
        <w:rPr>
          <w:rFonts w:ascii="Arial" w:cs="Arial" w:eastAsia="Arial" w:hAnsi="Arial"/>
          <w:sz w:val="17"/>
          <w:szCs w:val="17"/>
          <w:u w:val="single" w:color="auto"/>
          <w:color w:val="0000FF"/>
        </w:rPr>
        <w:t xml:space="preserve"> </w:t>
      </w:r>
      <w:hyperlink r:id="rId13">
        <w:r>
          <w:rPr>
            <w:rFonts w:ascii="Arial" w:cs="Arial" w:eastAsia="Arial" w:hAnsi="Arial"/>
            <w:sz w:val="17"/>
            <w:szCs w:val="17"/>
            <w:u w:val="single" w:color="auto"/>
            <w:color w:val="0000FF"/>
          </w:rPr>
          <w:t>Restricted Stock Unit Award Agreement thereunder</w:t>
        </w:r>
      </w:hyperlink>
    </w:p>
    <w:p>
      <w:pPr>
        <w:spacing w:after="0" w:line="3" w:lineRule="exact"/>
        <w:rPr>
          <w:rFonts w:ascii="Arial" w:cs="Arial" w:eastAsia="Arial" w:hAnsi="Arial"/>
          <w:sz w:val="17"/>
          <w:szCs w:val="17"/>
          <w:u w:val="single" w:color="auto"/>
          <w:color w:val="0000FF"/>
        </w:rPr>
      </w:pPr>
    </w:p>
    <w:p>
      <w:pPr>
        <w:ind w:left="1080" w:right="260" w:hanging="489"/>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99.2</w:t>
      </w:r>
      <w:r>
        <w:rPr>
          <w:sz w:val="20"/>
          <w:szCs w:val="20"/>
          <w:color w:val="auto"/>
        </w:rPr>
        <w:tab/>
      </w:r>
      <w:hyperlink r:id="rId14">
        <w:r>
          <w:rPr>
            <w:rFonts w:ascii="Arial" w:cs="Arial" w:eastAsia="Arial" w:hAnsi="Arial"/>
            <w:sz w:val="18"/>
            <w:szCs w:val="18"/>
            <w:u w:val="single" w:color="auto"/>
            <w:color w:val="0000FF"/>
          </w:rPr>
          <w:t>Forms of Restricted Stock Award Grant Notice and Restricted Stock</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Award Agreement under the Amended and Restated 2016 Equity</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Incentive Plan</w:t>
        </w:r>
      </w:hyperlink>
    </w:p>
    <w:p>
      <w:pPr>
        <w:spacing w:after="0" w:line="19" w:lineRule="exact"/>
        <w:rPr>
          <w:rFonts w:ascii="Arial" w:cs="Arial" w:eastAsia="Arial" w:hAnsi="Arial"/>
          <w:sz w:val="18"/>
          <w:szCs w:val="18"/>
          <w:u w:val="single" w:color="auto"/>
          <w:color w:val="0000FF"/>
        </w:rPr>
      </w:pPr>
    </w:p>
    <w:p>
      <w:pPr>
        <w:ind w:left="580"/>
        <w:spacing w:after="0"/>
        <w:tabs>
          <w:tab w:leader="none" w:pos="1060" w:val="left"/>
        </w:tabs>
        <w:rPr>
          <w:rFonts w:ascii="Arial" w:cs="Arial" w:eastAsia="Arial" w:hAnsi="Arial"/>
          <w:sz w:val="15"/>
          <w:szCs w:val="15"/>
          <w:u w:val="single" w:color="auto"/>
          <w:color w:val="0000FF"/>
        </w:rPr>
      </w:pPr>
      <w:r>
        <w:rPr>
          <w:rFonts w:ascii="Arial" w:cs="Arial" w:eastAsia="Arial" w:hAnsi="Arial"/>
          <w:sz w:val="18"/>
          <w:szCs w:val="18"/>
          <w:color w:val="auto"/>
        </w:rPr>
        <w:t>99.3</w:t>
      </w:r>
      <w:r>
        <w:rPr>
          <w:sz w:val="20"/>
          <w:szCs w:val="20"/>
          <w:color w:val="auto"/>
        </w:rPr>
        <w:tab/>
      </w:r>
      <w:hyperlink r:id="rId15">
        <w:r>
          <w:rPr>
            <w:rFonts w:ascii="Arial" w:cs="Arial" w:eastAsia="Arial" w:hAnsi="Arial"/>
            <w:sz w:val="15"/>
            <w:szCs w:val="15"/>
            <w:u w:val="single" w:color="auto"/>
            <w:color w:val="0000FF"/>
          </w:rPr>
          <w:t>2017 Employee Stock Purchase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34" w:lineRule="exact"/>
        <w:rPr>
          <w:rFonts w:ascii="Arial" w:cs="Arial" w:eastAsia="Arial" w:hAnsi="Arial"/>
          <w:sz w:val="18"/>
          <w:szCs w:val="18"/>
          <w:u w:val="single" w:color="auto"/>
          <w:color w:val="0000FF"/>
        </w:rPr>
      </w:pPr>
    </w:p>
    <w:p>
      <w:pPr>
        <w:ind w:left="146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68580</wp:posOffset>
            </wp:positionV>
            <wp:extent cx="317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11"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Schedule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File Number</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1820" w:type="dxa"/>
            <w:vAlign w:val="bottom"/>
          </w:tcPr>
          <w:p>
            <w:pPr>
              <w:jc w:val="right"/>
              <w:ind w:right="350"/>
              <w:spacing w:after="0"/>
              <w:rPr>
                <w:sz w:val="20"/>
                <w:szCs w:val="20"/>
                <w:color w:val="auto"/>
              </w:rPr>
            </w:pPr>
            <w:r>
              <w:rPr>
                <w:rFonts w:ascii="Arial" w:cs="Arial" w:eastAsia="Arial" w:hAnsi="Arial"/>
                <w:sz w:val="18"/>
                <w:szCs w:val="18"/>
                <w:b w:val="1"/>
                <w:bCs w:val="1"/>
                <w:color w:val="auto"/>
              </w:rPr>
              <w:t>Filing Date</w:t>
            </w:r>
          </w:p>
        </w:tc>
      </w:tr>
      <w:tr>
        <w:trPr>
          <w:trHeight w:val="81"/>
        </w:trPr>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r>
      <w:tr>
        <w:trPr>
          <w:trHeight w:val="237"/>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spacing w:after="0"/>
              <w:rPr>
                <w:sz w:val="20"/>
                <w:szCs w:val="20"/>
                <w:color w:val="auto"/>
              </w:rPr>
            </w:pPr>
            <w:r>
              <w:rPr>
                <w:rFonts w:ascii="Arial" w:cs="Arial" w:eastAsia="Arial" w:hAnsi="Arial"/>
                <w:sz w:val="18"/>
                <w:szCs w:val="18"/>
                <w:color w:val="auto"/>
              </w:rPr>
              <w:t>001-38240</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25, 2017</w:t>
            </w:r>
          </w:p>
        </w:tc>
      </w:tr>
      <w:tr>
        <w:trPr>
          <w:trHeight w:val="48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right"/>
              <w:spacing w:after="0"/>
              <w:rPr>
                <w:sz w:val="20"/>
                <w:szCs w:val="20"/>
                <w:color w:val="auto"/>
              </w:rPr>
            </w:pPr>
            <w:r>
              <w:rPr>
                <w:rFonts w:ascii="Arial" w:cs="Arial" w:eastAsia="Arial" w:hAnsi="Arial"/>
                <w:sz w:val="18"/>
                <w:szCs w:val="18"/>
                <w:color w:val="auto"/>
              </w:rPr>
              <w:t>333-220557</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September 21, 2017</w:t>
            </w:r>
          </w:p>
        </w:tc>
      </w:tr>
      <w:tr>
        <w:trPr>
          <w:trHeight w:val="27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right"/>
              <w:spacing w:after="0"/>
              <w:rPr>
                <w:sz w:val="20"/>
                <w:szCs w:val="20"/>
                <w:color w:val="auto"/>
              </w:rPr>
            </w:pPr>
            <w:r>
              <w:rPr>
                <w:rFonts w:ascii="Arial" w:cs="Arial" w:eastAsia="Arial" w:hAnsi="Arial"/>
                <w:sz w:val="18"/>
                <w:szCs w:val="18"/>
                <w:color w:val="auto"/>
              </w:rPr>
              <w:t>333-220557</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6, 2017</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6" w:lineRule="exact"/>
        <w:rPr>
          <w:rFonts w:ascii="Arial" w:cs="Arial" w:eastAsia="Arial" w:hAnsi="Arial"/>
          <w:sz w:val="18"/>
          <w:szCs w:val="18"/>
          <w:u w:val="single" w:color="auto"/>
          <w:color w:val="0000FF"/>
        </w:rPr>
      </w:pPr>
    </w:p>
    <w:tbl>
      <w:tblPr>
        <w:tblLayout w:type="fixed"/>
        <w:tblInd w:w="240" w:type="dxa"/>
        <w:tblCellMar>
          <w:top w:w="0" w:type="dxa"/>
          <w:left w:w="0" w:type="dxa"/>
          <w:bottom w:w="0" w:type="dxa"/>
          <w:right w:w="0" w:type="dxa"/>
        </w:tblCellMar>
      </w:tblPr>
      <w:tr>
        <w:trPr>
          <w:trHeight w:val="23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333-220557</w:t>
            </w: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10.2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October 6, 2017</w:t>
            </w:r>
          </w:p>
        </w:tc>
      </w:tr>
      <w:tr>
        <w:trPr>
          <w:trHeight w:val="702"/>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001-38240</w:t>
            </w: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280" w:type="dxa"/>
            <w:vAlign w:val="bottom"/>
          </w:tcPr>
          <w:p>
            <w:pPr>
              <w:jc w:val="right"/>
              <w:spacing w:after="0"/>
              <w:rPr>
                <w:sz w:val="20"/>
                <w:szCs w:val="20"/>
                <w:color w:val="auto"/>
              </w:rPr>
            </w:pPr>
            <w:r>
              <w:rPr>
                <w:rFonts w:ascii="Arial" w:cs="Arial" w:eastAsia="Arial" w:hAnsi="Arial"/>
                <w:sz w:val="18"/>
                <w:szCs w:val="18"/>
                <w:color w:val="auto"/>
              </w:rPr>
              <w:t>March 30,</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2018</w:t>
            </w:r>
          </w:p>
        </w:tc>
      </w:tr>
      <w:tr>
        <w:trPr>
          <w:trHeight w:val="702"/>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333-220557</w:t>
            </w: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280" w:type="dxa"/>
            <w:vAlign w:val="bottom"/>
          </w:tcPr>
          <w:p>
            <w:pPr>
              <w:jc w:val="right"/>
              <w:spacing w:after="0"/>
              <w:rPr>
                <w:sz w:val="20"/>
                <w:szCs w:val="20"/>
                <w:color w:val="auto"/>
              </w:rPr>
            </w:pPr>
            <w:r>
              <w:rPr>
                <w:rFonts w:ascii="Arial" w:cs="Arial" w:eastAsia="Arial" w:hAnsi="Arial"/>
                <w:sz w:val="18"/>
                <w:szCs w:val="18"/>
                <w:color w:val="auto"/>
              </w:rPr>
              <w:t>October 6,</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2017</w:t>
            </w:r>
          </w:p>
        </w:tc>
      </w:tr>
    </w:tbl>
    <w:p>
      <w:pPr>
        <w:spacing w:after="0" w:line="200" w:lineRule="exact"/>
        <w:rPr>
          <w:rFonts w:ascii="Arial" w:cs="Arial" w:eastAsia="Arial" w:hAnsi="Arial"/>
          <w:sz w:val="18"/>
          <w:szCs w:val="18"/>
          <w:u w:val="single" w:color="auto"/>
          <w:color w:val="0000FF"/>
        </w:rPr>
      </w:pPr>
    </w:p>
    <w:p>
      <w:pPr>
        <w:sectPr>
          <w:pgSz w:w="11900" w:h="16838" w:orient="portrait"/>
          <w:cols w:equalWidth="0" w:num="2">
            <w:col w:w="6260" w:space="160"/>
            <w:col w:w="5000"/>
          </w:cols>
          <w:pgMar w:left="240" w:top="621" w:right="239" w:bottom="1440" w:gutter="0" w:footer="0" w:header="0"/>
        </w:sectPr>
      </w:pPr>
    </w:p>
    <w:p>
      <w:pPr>
        <w:spacing w:after="0" w:line="56"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7"/>
          <w:szCs w:val="17"/>
          <w:color w:val="auto"/>
        </w:rPr>
        <w:t>* Filed herewith</w:t>
      </w:r>
    </w:p>
    <w:p>
      <w:pPr>
        <w:sectPr>
          <w:pgSz w:w="11900" w:h="16838" w:orient="portrait"/>
          <w:cols w:equalWidth="0" w:num="1">
            <w:col w:w="11420"/>
          </w:cols>
          <w:pgMar w:left="240" w:top="621"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the 30th day of March 2018.</w:t>
      </w:r>
    </w:p>
    <w:p>
      <w:pPr>
        <w:spacing w:after="0" w:line="23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MONGODB, INC.</w:t>
      </w:r>
    </w:p>
    <w:p>
      <w:pPr>
        <w:spacing w:after="0" w:line="337" w:lineRule="exact"/>
        <w:rPr>
          <w:sz w:val="20"/>
          <w:szCs w:val="20"/>
          <w:color w:val="auto"/>
        </w:rPr>
      </w:pPr>
    </w:p>
    <w:p>
      <w:pPr>
        <w:ind w:left="57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84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Chief Executive Officer and Director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Dev Ittycheria and</w:t>
      </w:r>
      <w:r>
        <w:rPr>
          <w:rFonts w:ascii="Arial" w:cs="Arial" w:eastAsia="Arial" w:hAnsi="Arial"/>
          <w:sz w:val="17"/>
          <w:szCs w:val="17"/>
          <w:b w:val="1"/>
          <w:bCs w:val="1"/>
          <w:color w:val="auto"/>
        </w:rPr>
        <w:t xml:space="preserve"> </w:t>
      </w:r>
      <w:r>
        <w:rPr>
          <w:rFonts w:ascii="Arial" w:cs="Arial" w:eastAsia="Arial" w:hAnsi="Arial"/>
          <w:sz w:val="17"/>
          <w:szCs w:val="17"/>
          <w:color w:val="auto"/>
        </w:rPr>
        <w:t>Michael Gordon,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00" w:type="dxa"/>
            <w:vAlign w:val="bottom"/>
          </w:tcPr>
          <w:p>
            <w:pPr>
              <w:spacing w:after="0"/>
              <w:rPr>
                <w:sz w:val="20"/>
                <w:szCs w:val="20"/>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Title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519"/>
        </w:trPr>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 Director</w:t>
            </w:r>
          </w:p>
        </w:tc>
        <w:tc>
          <w:tcPr>
            <w:tcW w:w="1820" w:type="dxa"/>
            <w:vAlign w:val="bottom"/>
          </w:tcPr>
          <w:p>
            <w:pPr>
              <w:spacing w:after="0"/>
              <w:rPr>
                <w:sz w:val="24"/>
                <w:szCs w:val="24"/>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3"/>
              </w:rPr>
              <w:t>/s/ Dev Ittycheria</w:t>
            </w:r>
          </w:p>
        </w:tc>
        <w:tc>
          <w:tcPr>
            <w:tcW w:w="200" w:type="dxa"/>
            <w:vAlign w:val="bottom"/>
          </w:tcPr>
          <w:p>
            <w:pPr>
              <w:spacing w:after="0"/>
              <w:rPr>
                <w:sz w:val="20"/>
                <w:szCs w:val="20"/>
                <w:color w:val="auto"/>
              </w:rPr>
            </w:pPr>
          </w:p>
        </w:tc>
        <w:tc>
          <w:tcPr>
            <w:tcW w:w="444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4"/>
              </w:rPr>
              <w:t>(Principal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Dev Ittycheria</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6"/>
        </w:trPr>
        <w:tc>
          <w:tcPr>
            <w:tcW w:w="3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1820" w:type="dxa"/>
            <w:vAlign w:val="bottom"/>
          </w:tcPr>
          <w:p>
            <w:pPr>
              <w:spacing w:after="0"/>
              <w:rPr>
                <w:sz w:val="22"/>
                <w:szCs w:val="22"/>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Michael Gordon</w:t>
            </w:r>
          </w:p>
        </w:tc>
        <w:tc>
          <w:tcPr>
            <w:tcW w:w="200" w:type="dxa"/>
            <w:vAlign w:val="bottom"/>
          </w:tcPr>
          <w:p>
            <w:pPr>
              <w:spacing w:after="0"/>
              <w:rPr>
                <w:sz w:val="20"/>
                <w:szCs w:val="20"/>
                <w:color w:val="auto"/>
              </w:rPr>
            </w:pPr>
          </w:p>
        </w:tc>
        <w:tc>
          <w:tcPr>
            <w:tcW w:w="444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7"/>
              </w:rPr>
              <w:t>(Principal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Gordon</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6"/>
        </w:trPr>
        <w:tc>
          <w:tcPr>
            <w:tcW w:w="3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Corporate Controller</w:t>
            </w:r>
          </w:p>
        </w:tc>
        <w:tc>
          <w:tcPr>
            <w:tcW w:w="1820" w:type="dxa"/>
            <w:vAlign w:val="bottom"/>
          </w:tcPr>
          <w:p>
            <w:pPr>
              <w:spacing w:after="0"/>
              <w:rPr>
                <w:sz w:val="22"/>
                <w:szCs w:val="22"/>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Thomas Bull</w:t>
            </w:r>
          </w:p>
        </w:tc>
        <w:tc>
          <w:tcPr>
            <w:tcW w:w="200" w:type="dxa"/>
            <w:vAlign w:val="bottom"/>
          </w:tcPr>
          <w:p>
            <w:pPr>
              <w:spacing w:after="0"/>
              <w:rPr>
                <w:sz w:val="20"/>
                <w:szCs w:val="20"/>
                <w:color w:val="auto"/>
              </w:rPr>
            </w:pPr>
          </w:p>
        </w:tc>
        <w:tc>
          <w:tcPr>
            <w:tcW w:w="444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5"/>
              </w:rPr>
              <w:t>(Principal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Thomas Bull</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Kevin P. Ryan</w:t>
            </w:r>
          </w:p>
        </w:tc>
        <w:tc>
          <w:tcPr>
            <w:tcW w:w="200" w:type="dxa"/>
            <w:vAlign w:val="bottom"/>
          </w:tcPr>
          <w:p>
            <w:pPr>
              <w:spacing w:after="0"/>
              <w:rPr>
                <w:sz w:val="24"/>
                <w:szCs w:val="24"/>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Kevin P. Ryan</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Roelof Botha</w:t>
            </w:r>
          </w:p>
        </w:tc>
        <w:tc>
          <w:tcPr>
            <w:tcW w:w="200" w:type="dxa"/>
            <w:vAlign w:val="bottom"/>
          </w:tcPr>
          <w:p>
            <w:pPr>
              <w:spacing w:after="0"/>
              <w:rPr>
                <w:sz w:val="24"/>
                <w:szCs w:val="24"/>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Roelof Botha</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Hope Cochran</w:t>
            </w:r>
          </w:p>
        </w:tc>
        <w:tc>
          <w:tcPr>
            <w:tcW w:w="200" w:type="dxa"/>
            <w:vAlign w:val="bottom"/>
          </w:tcPr>
          <w:p>
            <w:pPr>
              <w:spacing w:after="0"/>
              <w:rPr>
                <w:sz w:val="24"/>
                <w:szCs w:val="24"/>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Hope Cochran</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Charles M. Hazard, Jr.</w:t>
            </w:r>
          </w:p>
        </w:tc>
        <w:tc>
          <w:tcPr>
            <w:tcW w:w="200" w:type="dxa"/>
            <w:vAlign w:val="bottom"/>
          </w:tcPr>
          <w:p>
            <w:pPr>
              <w:spacing w:after="0"/>
              <w:rPr>
                <w:sz w:val="24"/>
                <w:szCs w:val="24"/>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Charles M. Hazard, Jr.</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640" w:type="dxa"/>
            <w:vAlign w:val="bottom"/>
          </w:tcPr>
          <w:p>
            <w:pPr>
              <w:jc w:val="center"/>
              <w:spacing w:after="0"/>
              <w:rPr>
                <w:sz w:val="20"/>
                <w:szCs w:val="20"/>
                <w:color w:val="auto"/>
              </w:rPr>
            </w:pPr>
            <w:r>
              <w:rPr>
                <w:rFonts w:ascii="Arial" w:cs="Arial" w:eastAsia="Arial" w:hAnsi="Arial"/>
                <w:sz w:val="18"/>
                <w:szCs w:val="18"/>
                <w:color w:val="auto"/>
                <w:w w:val="96"/>
              </w:rPr>
              <w:t>/s/ Eliot Horowitz</w:t>
            </w:r>
          </w:p>
        </w:tc>
        <w:tc>
          <w:tcPr>
            <w:tcW w:w="200" w:type="dxa"/>
            <w:vAlign w:val="bottom"/>
          </w:tcPr>
          <w:p>
            <w:pPr>
              <w:spacing w:after="0"/>
              <w:rPr>
                <w:sz w:val="24"/>
                <w:szCs w:val="24"/>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Eliot Horowitz</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640" w:type="dxa"/>
            <w:vAlign w:val="bottom"/>
          </w:tcPr>
          <w:p>
            <w:pPr>
              <w:jc w:val="center"/>
              <w:spacing w:after="0"/>
              <w:rPr>
                <w:sz w:val="20"/>
                <w:szCs w:val="20"/>
                <w:color w:val="auto"/>
              </w:rPr>
            </w:pPr>
            <w:r>
              <w:rPr>
                <w:rFonts w:ascii="Arial" w:cs="Arial" w:eastAsia="Arial" w:hAnsi="Arial"/>
                <w:sz w:val="18"/>
                <w:szCs w:val="18"/>
                <w:color w:val="auto"/>
                <w:w w:val="94"/>
              </w:rPr>
              <w:t>/s/ Tom Killalea</w:t>
            </w:r>
          </w:p>
        </w:tc>
        <w:tc>
          <w:tcPr>
            <w:tcW w:w="200" w:type="dxa"/>
            <w:vAlign w:val="bottom"/>
          </w:tcPr>
          <w:p>
            <w:pPr>
              <w:spacing w:after="0"/>
              <w:rPr>
                <w:sz w:val="24"/>
                <w:szCs w:val="24"/>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Tom Killalea</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John McMahon</w:t>
            </w:r>
          </w:p>
        </w:tc>
        <w:tc>
          <w:tcPr>
            <w:tcW w:w="200" w:type="dxa"/>
            <w:vAlign w:val="bottom"/>
          </w:tcPr>
          <w:p>
            <w:pPr>
              <w:spacing w:after="0"/>
              <w:rPr>
                <w:sz w:val="24"/>
                <w:szCs w:val="24"/>
                <w:color w:val="auto"/>
              </w:rPr>
            </w:pPr>
          </w:p>
        </w:tc>
        <w:tc>
          <w:tcPr>
            <w:tcW w:w="44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John McMahon</w:t>
            </w:r>
          </w:p>
        </w:tc>
        <w:tc>
          <w:tcPr>
            <w:tcW w:w="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ectPr>
          <w:pgSz w:w="11900" w:h="16838" w:orient="portrait"/>
          <w:cols w:equalWidth="0" w:num="1">
            <w:col w:w="11420"/>
          </w:cols>
          <w:pgMar w:left="240" w:top="6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120904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2090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Arial" w:cs="Arial" w:eastAsia="Arial" w:hAnsi="Arial"/>
          <w:sz w:val="16"/>
          <w:szCs w:val="16"/>
          <w:color w:val="auto"/>
        </w:rPr>
        <w:t>Babak Yaghmaie</w:t>
      </w:r>
    </w:p>
    <w:p>
      <w:pPr>
        <w:spacing w:after="0" w:line="5" w:lineRule="exact"/>
        <w:rPr>
          <w:sz w:val="20"/>
          <w:szCs w:val="20"/>
          <w:color w:val="auto"/>
        </w:rPr>
      </w:pPr>
    </w:p>
    <w:p>
      <w:pPr>
        <w:ind w:left="80" w:right="9560" w:firstLine="9"/>
        <w:spacing w:after="0" w:line="260" w:lineRule="auto"/>
        <w:tabs>
          <w:tab w:leader="none" w:pos="251" w:val="left"/>
        </w:tabs>
        <w:numPr>
          <w:ilvl w:val="0"/>
          <w:numId w:val="5"/>
        </w:numPr>
        <w:rPr>
          <w:rFonts w:ascii="Arial" w:cs="Arial" w:eastAsia="Arial" w:hAnsi="Arial"/>
          <w:sz w:val="16"/>
          <w:szCs w:val="16"/>
          <w:color w:val="auto"/>
        </w:rPr>
      </w:pPr>
      <w:r>
        <w:rPr>
          <w:rFonts w:ascii="Arial" w:cs="Arial" w:eastAsia="Arial" w:hAnsi="Arial"/>
          <w:sz w:val="16"/>
          <w:szCs w:val="16"/>
          <w:color w:val="auto"/>
        </w:rPr>
        <w:t>212 479 6556 byaghmaie@cooley.com</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March 30, 2018</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MongoDB, Inc.</w:t>
      </w:r>
    </w:p>
    <w:p>
      <w:pPr>
        <w:spacing w:after="0"/>
        <w:rPr>
          <w:sz w:val="20"/>
          <w:szCs w:val="20"/>
          <w:color w:val="auto"/>
        </w:rPr>
      </w:pPr>
      <w:r>
        <w:rPr>
          <w:rFonts w:ascii="Arial" w:cs="Arial" w:eastAsia="Arial" w:hAnsi="Arial"/>
          <w:sz w:val="20"/>
          <w:szCs w:val="20"/>
          <w:color w:val="auto"/>
        </w:rPr>
        <w:t>229 W. 43rd Street, 5th Floor</w:t>
      </w:r>
    </w:p>
    <w:p>
      <w:pPr>
        <w:spacing w:after="0"/>
        <w:rPr>
          <w:sz w:val="20"/>
          <w:szCs w:val="20"/>
          <w:color w:val="auto"/>
        </w:rPr>
      </w:pPr>
      <w:r>
        <w:rPr>
          <w:rFonts w:ascii="Arial" w:cs="Arial" w:eastAsia="Arial" w:hAnsi="Arial"/>
          <w:sz w:val="20"/>
          <w:szCs w:val="20"/>
          <w:color w:val="auto"/>
        </w:rPr>
        <w:t>New York, NY 10036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Registration on Form S-8</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9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We have acted as counsel to MongoDB,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you have requested our opinion in connection with the filing of a Registration Statement on Form S-8 (the “</w:t>
      </w:r>
      <w:r>
        <w:rPr>
          <w:rFonts w:ascii="Arial" w:cs="Arial" w:eastAsia="Arial" w:hAnsi="Arial"/>
          <w:sz w:val="20"/>
          <w:szCs w:val="20"/>
          <w:b w:val="1"/>
          <w:bCs w:val="1"/>
          <w:color w:val="auto"/>
        </w:rPr>
        <w:t>Registration Statement</w:t>
      </w:r>
      <w:r>
        <w:rPr>
          <w:rFonts w:ascii="Arial" w:cs="Arial" w:eastAsia="Arial" w:hAnsi="Arial"/>
          <w:sz w:val="20"/>
          <w:szCs w:val="20"/>
          <w:color w:val="auto"/>
        </w:rPr>
        <w:t>”) with the U.S. Securities and Exchange Commission, covering the offering of up to (a) 2,681,452 shares of the Company’s Class A common stock, par value $0.001 per share (the “</w:t>
      </w:r>
      <w:r>
        <w:rPr>
          <w:rFonts w:ascii="Arial" w:cs="Arial" w:eastAsia="Arial" w:hAnsi="Arial"/>
          <w:sz w:val="20"/>
          <w:szCs w:val="20"/>
          <w:b w:val="1"/>
          <w:bCs w:val="1"/>
          <w:color w:val="auto"/>
        </w:rPr>
        <w:t>Class A 2016 EIP Shares</w:t>
      </w:r>
      <w:r>
        <w:rPr>
          <w:rFonts w:ascii="Arial" w:cs="Arial" w:eastAsia="Arial" w:hAnsi="Arial"/>
          <w:sz w:val="20"/>
          <w:szCs w:val="20"/>
          <w:color w:val="auto"/>
        </w:rPr>
        <w:t>”) issuable pursuant to the Company’s 2016 Equity Incentive Plan and (b) 505,755 shares of Class A Common Stock, par value $0.001 per share (together with the Class A 2016 EIP Shares, the “</w:t>
      </w:r>
      <w:r>
        <w:rPr>
          <w:rFonts w:ascii="Arial" w:cs="Arial" w:eastAsia="Arial" w:hAnsi="Arial"/>
          <w:sz w:val="20"/>
          <w:szCs w:val="20"/>
          <w:b w:val="1"/>
          <w:bCs w:val="1"/>
          <w:color w:val="auto"/>
        </w:rPr>
        <w:t>Shares</w:t>
      </w:r>
      <w:r>
        <w:rPr>
          <w:rFonts w:ascii="Arial" w:cs="Arial" w:eastAsia="Arial" w:hAnsi="Arial"/>
          <w:sz w:val="20"/>
          <w:szCs w:val="20"/>
          <w:color w:val="auto"/>
        </w:rPr>
        <w:t>”) issuable pursuant to the Company’s 2017 Employee Stock Purchase Plan (together with the Company’s 2016 Equity Incentive Plan, as amended, the “</w:t>
      </w:r>
      <w:r>
        <w:rPr>
          <w:rFonts w:ascii="Arial" w:cs="Arial" w:eastAsia="Arial" w:hAnsi="Arial"/>
          <w:sz w:val="20"/>
          <w:szCs w:val="20"/>
          <w:b w:val="1"/>
          <w:bCs w:val="1"/>
          <w:color w:val="auto"/>
        </w:rPr>
        <w:t>Plans</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connection with this opinion, we have examined and relied upon the Registration Statement and related prospectuses, the Company’s Amended and Restated Certificate of Incorporation and Bylaws, as currently in effect, the Plans and the originals or copies certified to our satisfaction of such other records, documents, certificates, memoranda and other instruments as we deem necessary or appropriate to enable us to render the opinion expressed below. We have assumed the genuineness and authenticity of all documents submitted to us as originals and the conformity to originals of all documents submitted to us as copies thereof. As to certain factual matters, we have relied upon a certificate of an officer of the Company and have not sought to independently verify such matters.</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0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consent to the filing of this opinion as an exhibit to the Registration Statement.</w:t>
      </w:r>
    </w:p>
    <w:p>
      <w:pPr>
        <w:sectPr>
          <w:pgSz w:w="11900" w:h="16838" w:orient="portrait"/>
          <w:cols w:equalWidth="0" w:num="1">
            <w:col w:w="11420"/>
          </w:cols>
          <w:pgMar w:left="240" w:top="594"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208915</wp:posOffset>
            </wp:positionH>
            <wp:positionV relativeFrom="page">
              <wp:posOffset>389255</wp:posOffset>
            </wp:positionV>
            <wp:extent cx="120904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77190"/>
                    </a:xfrm>
                    <a:prstGeom prst="rect">
                      <a:avLst/>
                    </a:prstGeom>
                    <a:noFill/>
                  </pic:spPr>
                </pic:pic>
              </a:graphicData>
            </a:graphic>
          </wp:anchor>
        </w:drawing>
        <w:t>Sincerely,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Babak Yaghmaie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Babak Yaghmaie</w:t>
      </w:r>
    </w:p>
    <w:p>
      <w:pPr>
        <w:sectPr>
          <w:pgSz w:w="11900" w:h="16838" w:orient="portrait"/>
          <w:cols w:equalWidth="0" w:num="1">
            <w:col w:w="10219"/>
          </w:cols>
          <w:pgMar w:left="240" w:top="1432"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0"/>
        <w:spacing w:after="0" w:line="230" w:lineRule="exact"/>
        <w:rPr>
          <w:sz w:val="20"/>
          <w:szCs w:val="20"/>
          <w:color w:val="auto"/>
        </w:rPr>
      </w:pPr>
      <w:r>
        <w:rPr>
          <w:rFonts w:ascii="Arial" w:cs="Arial" w:eastAsia="Arial" w:hAnsi="Arial"/>
          <w:sz w:val="16"/>
          <w:szCs w:val="16"/>
          <w:color w:val="auto"/>
        </w:rPr>
        <w:t>We hereby consent to the incorporation by reference in this Registration Statement on Form S-8 of our report dated March 30, 2018 relating to the financial statements and financial statement schedule, which appears in MongoDB Inc.'s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January 31,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jpeg"/><Relationship Id="rId20" Type="http://schemas.openxmlformats.org/officeDocument/2006/relationships/image" Target="media/image7.jpeg"/><Relationship Id="rId10" Type="http://schemas.openxmlformats.org/officeDocument/2006/relationships/hyperlink" Target="http://www.sec.gov/Archives/edgar/data/1441816/000110465917063753/a17-24439_1ex3d1.htm" TargetMode="External"/><Relationship Id="rId11" Type="http://schemas.openxmlformats.org/officeDocument/2006/relationships/hyperlink" Target="http://www.sec.gov/Archives/edgar/data/1441816/000104746917006014/a2233365zex-3_4.htm" TargetMode="External"/><Relationship Id="rId12" Type="http://schemas.openxmlformats.org/officeDocument/2006/relationships/hyperlink" Target="http://www.sec.gov/Archives/edgar/data/1441816/000104746917006246/a2233386zex-4_1.htm" TargetMode="External"/><Relationship Id="rId13" Type="http://schemas.openxmlformats.org/officeDocument/2006/relationships/hyperlink" Target="http://www.sec.gov/Archives/edgar/data/1441816/000104746917006246/a2233386zex-10_2.htm" TargetMode="External"/><Relationship Id="rId14" Type="http://schemas.openxmlformats.org/officeDocument/2006/relationships/hyperlink" Target="http://www.sec.gov/Archives/edgar/data/1441816/000144181618000028/mdb-13118x10kxex103.htm" TargetMode="External"/><Relationship Id="rId15" Type="http://schemas.openxmlformats.org/officeDocument/2006/relationships/hyperlink" Target="http://www.sec.gov/Archives/edgar/data/1441816/000104746917006246/a2233386z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2019-12-07T14:21:35Z</dcterms:created>
  <dcterms:modified xsi:type="dcterms:W3CDTF">2019-12-07T14:21:35Z</dcterms:modified>
</cp:coreProperties>
</file>