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054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5409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2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Horowitz Eliot</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MONGODB,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229 WEST 43RD STREET,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MongoDB,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07/02/2018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Chief Technology Officer</w:t>
      </w:r>
    </w:p>
    <w:p>
      <w:pPr>
        <w:spacing w:after="0" w:line="422" w:lineRule="exact"/>
        <w:rPr>
          <w:sz w:val="24"/>
          <w:szCs w:val="24"/>
          <w:color w:val="auto"/>
        </w:rPr>
      </w:pPr>
    </w:p>
    <w:p>
      <w:pPr>
        <w:sectPr>
          <w:pgSz w:w="11900" w:h="16838" w:orient="portrait"/>
          <w:cols w:equalWidth="0" w:num="3">
            <w:col w:w="3340" w:space="720"/>
            <w:col w:w="3254" w:space="720"/>
            <w:col w:w="3486"/>
          </w:cols>
          <w:pgMar w:left="240" w:top="225" w:right="139" w:bottom="226"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900" w:space="160"/>
            <w:col w:w="7460"/>
          </w:cols>
          <w:pgMar w:left="240" w:top="225" w:right="139" w:bottom="2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jc w:val="center"/>
              <w:ind w:left="56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07/02/2018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7,100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128"/>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99,261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07/02/2018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6,100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48.89</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93,161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07/02/2018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88"/>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49.4</w:t>
            </w:r>
            <w:r>
              <w:rPr>
                <w:rFonts w:ascii="Arial" w:cs="Arial" w:eastAsia="Arial" w:hAnsi="Arial"/>
                <w:sz w:val="22"/>
                <w:szCs w:val="22"/>
                <w:color w:val="008000"/>
                <w:w w:val="89"/>
                <w:vertAlign w:val="superscript"/>
              </w:rPr>
              <w:t>(4)</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92,161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2"/>
          </w:tcPr>
          <w:p>
            <w:pPr>
              <w:jc w:val="center"/>
              <w:ind w:left="568"/>
              <w:spacing w:after="0"/>
              <w:rPr>
                <w:sz w:val="20"/>
                <w:szCs w:val="20"/>
                <w:color w:val="auto"/>
              </w:rPr>
            </w:pPr>
            <w:r>
              <w:rPr>
                <w:rFonts w:ascii="Arial" w:cs="Arial" w:eastAsia="Arial" w:hAnsi="Arial"/>
                <w:sz w:val="17"/>
                <w:szCs w:val="17"/>
                <w:color w:val="0000FF"/>
                <w:w w:val="91"/>
              </w:rPr>
              <w:t>07/02/2018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18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(5)</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2,162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14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49.4</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89,999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11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(1)(2)</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71"/>
              <w:spacing w:after="0"/>
              <w:rPr>
                <w:sz w:val="20"/>
                <w:szCs w:val="20"/>
                <w:color w:val="auto"/>
              </w:rPr>
            </w:pPr>
            <w:r>
              <w:rPr>
                <w:rFonts w:ascii="Arial" w:cs="Arial" w:eastAsia="Arial" w:hAnsi="Arial"/>
                <w:sz w:val="11"/>
                <w:szCs w:val="11"/>
                <w:color w:val="008000"/>
              </w:rPr>
              <w:t>(1)</w:t>
            </w:r>
          </w:p>
        </w:tc>
        <w:tc>
          <w:tcPr>
            <w:tcW w:w="660" w:type="dxa"/>
            <w:vAlign w:val="bottom"/>
          </w:tcPr>
          <w:p>
            <w:pPr>
              <w:jc w:val="center"/>
              <w:ind w:right="12"/>
              <w:spacing w:after="0"/>
              <w:rPr>
                <w:sz w:val="20"/>
                <w:szCs w:val="20"/>
                <w:color w:val="auto"/>
              </w:rPr>
            </w:pPr>
            <w:r>
              <w:rPr>
                <w:rFonts w:ascii="Arial" w:cs="Arial" w:eastAsia="Arial" w:hAnsi="Arial"/>
                <w:sz w:val="13"/>
                <w:szCs w:val="13"/>
                <w:color w:val="0000FF"/>
                <w:w w:val="93"/>
              </w:rPr>
              <w:t>Class A</w:t>
            </w:r>
          </w:p>
        </w:tc>
        <w:tc>
          <w:tcPr>
            <w:tcW w:w="660" w:type="dxa"/>
            <w:vAlign w:val="bottom"/>
            <w:vMerge w:val="restart"/>
          </w:tcPr>
          <w:p>
            <w:pPr>
              <w:jc w:val="right"/>
              <w:ind w:right="88"/>
              <w:spacing w:after="0"/>
              <w:rPr>
                <w:sz w:val="20"/>
                <w:szCs w:val="20"/>
                <w:color w:val="auto"/>
              </w:rPr>
            </w:pPr>
            <w:r>
              <w:rPr>
                <w:rFonts w:ascii="Arial" w:cs="Arial" w:eastAsia="Arial" w:hAnsi="Arial"/>
                <w:sz w:val="17"/>
                <w:szCs w:val="17"/>
                <w:color w:val="0000FF"/>
              </w:rPr>
              <w:t>7,100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58"/>
              <w:spacing w:after="0" w:line="147" w:lineRule="exact"/>
              <w:rPr>
                <w:sz w:val="20"/>
                <w:szCs w:val="20"/>
                <w:color w:val="auto"/>
              </w:rPr>
            </w:pPr>
            <w:r>
              <w:rPr>
                <w:rFonts w:ascii="Arial" w:cs="Arial" w:eastAsia="Arial" w:hAnsi="Arial"/>
                <w:sz w:val="13"/>
                <w:szCs w:val="13"/>
                <w:color w:val="0000FF"/>
              </w:rPr>
              <w:t>07/02/2018</w:t>
            </w:r>
          </w:p>
        </w:tc>
        <w:tc>
          <w:tcPr>
            <w:tcW w:w="1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ind w:left="420"/>
              <w:spacing w:after="0" w:line="147" w:lineRule="exact"/>
              <w:rPr>
                <w:sz w:val="20"/>
                <w:szCs w:val="20"/>
                <w:color w:val="auto"/>
              </w:rPr>
            </w:pPr>
            <w:r>
              <w:rPr>
                <w:rFonts w:ascii="Arial" w:cs="Arial" w:eastAsia="Arial" w:hAnsi="Arial"/>
                <w:sz w:val="13"/>
                <w:szCs w:val="13"/>
                <w:color w:val="0000FF"/>
              </w:rPr>
              <w:t>7,100</w:t>
            </w: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40"/>
              <w:spacing w:after="0" w:line="147"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92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0000FF"/>
              </w:rPr>
              <w:t>1,494,963</w:t>
            </w:r>
          </w:p>
        </w:tc>
        <w:tc>
          <w:tcPr>
            <w:tcW w:w="680" w:type="dxa"/>
            <w:vAlign w:val="bottom"/>
          </w:tcPr>
          <w:p>
            <w:pPr>
              <w:ind w:left="32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12"/>
              <w:spacing w:after="0"/>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71"/>
              <w:spacing w:after="0"/>
              <w:rPr>
                <w:sz w:val="20"/>
                <w:szCs w:val="20"/>
                <w:color w:val="auto"/>
              </w:rPr>
            </w:pPr>
            <w:r>
              <w:rPr>
                <w:rFonts w:ascii="Arial" w:cs="Arial" w:eastAsia="Arial" w:hAnsi="Arial"/>
                <w:sz w:val="11"/>
                <w:szCs w:val="11"/>
                <w:color w:val="008000"/>
              </w:rPr>
              <w:t>(1)</w:t>
            </w:r>
          </w:p>
        </w:tc>
        <w:tc>
          <w:tcPr>
            <w:tcW w:w="660" w:type="dxa"/>
            <w:vAlign w:val="bottom"/>
          </w:tcPr>
          <w:p>
            <w:pPr>
              <w:jc w:val="center"/>
              <w:ind w:right="12"/>
              <w:spacing w:after="0"/>
              <w:rPr>
                <w:sz w:val="20"/>
                <w:szCs w:val="20"/>
                <w:color w:val="auto"/>
              </w:rPr>
            </w:pPr>
            <w:r>
              <w:rPr>
                <w:rFonts w:ascii="Arial" w:cs="Arial" w:eastAsia="Arial" w:hAnsi="Arial"/>
                <w:sz w:val="13"/>
                <w:szCs w:val="13"/>
                <w:color w:val="0000FF"/>
                <w:w w:val="93"/>
              </w:rPr>
              <w:t>Class A</w:t>
            </w:r>
          </w:p>
        </w:tc>
        <w:tc>
          <w:tcPr>
            <w:tcW w:w="660" w:type="dxa"/>
            <w:vAlign w:val="bottom"/>
            <w:vMerge w:val="restart"/>
          </w:tcPr>
          <w:p>
            <w:pPr>
              <w:jc w:val="right"/>
              <w:ind w:right="8"/>
              <w:spacing w:after="0"/>
              <w:rPr>
                <w:sz w:val="20"/>
                <w:szCs w:val="20"/>
                <w:color w:val="auto"/>
              </w:rPr>
            </w:pPr>
            <w:r>
              <w:rPr>
                <w:rFonts w:ascii="Arial" w:cs="Arial" w:eastAsia="Arial" w:hAnsi="Arial"/>
                <w:sz w:val="17"/>
                <w:szCs w:val="17"/>
                <w:color w:val="0000FF"/>
                <w:w w:val="91"/>
              </w:rPr>
              <w:t>375,000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color w:val="0000FF"/>
              </w:rPr>
              <w:t>By 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40"/>
              <w:spacing w:after="0" w:line="147"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jc w:val="right"/>
              <w:ind w:right="200"/>
              <w:spacing w:after="0" w:line="147" w:lineRule="exact"/>
              <w:rPr>
                <w:sz w:val="20"/>
                <w:szCs w:val="20"/>
                <w:color w:val="auto"/>
              </w:rPr>
            </w:pPr>
            <w:r>
              <w:rPr>
                <w:rFonts w:ascii="Arial" w:cs="Arial" w:eastAsia="Arial" w:hAnsi="Arial"/>
                <w:sz w:val="13"/>
                <w:szCs w:val="13"/>
                <w:color w:val="0000FF"/>
              </w:rPr>
              <w:t>375,000</w:t>
            </w:r>
          </w:p>
        </w:tc>
        <w:tc>
          <w:tcPr>
            <w:tcW w:w="680" w:type="dxa"/>
            <w:vAlign w:val="bottom"/>
          </w:tcPr>
          <w:p>
            <w:pPr>
              <w:ind w:left="360"/>
              <w:spacing w:after="0" w:line="147" w:lineRule="exact"/>
              <w:rPr>
                <w:sz w:val="20"/>
                <w:szCs w:val="20"/>
                <w:color w:val="auto"/>
              </w:rPr>
            </w:pPr>
            <w:r>
              <w:rPr>
                <w:rFonts w:ascii="Arial" w:cs="Arial" w:eastAsia="Arial" w:hAnsi="Arial"/>
                <w:sz w:val="13"/>
                <w:szCs w:val="13"/>
                <w:color w:val="0000FF"/>
              </w:rPr>
              <w:t>I</w:t>
            </w: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jc w:val="center"/>
              <w:ind w:right="12"/>
              <w:spacing w:after="0"/>
              <w:rPr>
                <w:sz w:val="20"/>
                <w:szCs w:val="20"/>
                <w:color w:val="auto"/>
              </w:rPr>
            </w:pPr>
            <w:r>
              <w:rPr>
                <w:rFonts w:ascii="Arial" w:cs="Arial" w:eastAsia="Arial" w:hAnsi="Arial"/>
                <w:sz w:val="13"/>
                <w:szCs w:val="13"/>
                <w:color w:val="0000FF"/>
                <w:w w:val="92"/>
              </w:rPr>
              <w:t>Stock</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60" w:firstLine="7"/>
        <w:spacing w:after="0" w:line="28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5"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were pursuant to a Rule 10b5-1 trading plan adopted by the reporting person.</w:t>
      </w:r>
    </w:p>
    <w:p>
      <w:pPr>
        <w:spacing w:after="0" w:line="50" w:lineRule="exact"/>
        <w:rPr>
          <w:rFonts w:ascii="Arial" w:cs="Arial" w:eastAsia="Arial" w:hAnsi="Arial"/>
          <w:sz w:val="13"/>
          <w:szCs w:val="13"/>
          <w:color w:val="008000"/>
        </w:rPr>
      </w:pPr>
    </w:p>
    <w:p>
      <w:pPr>
        <w:ind w:left="40" w:right="260" w:firstLine="7"/>
        <w:spacing w:after="0" w:line="252"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$48.35 to $49.115,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2" w:lineRule="exact"/>
        <w:rPr>
          <w:rFonts w:ascii="Arial" w:cs="Arial" w:eastAsia="Arial" w:hAnsi="Arial"/>
          <w:sz w:val="13"/>
          <w:szCs w:val="13"/>
          <w:color w:val="008000"/>
        </w:rPr>
      </w:pPr>
    </w:p>
    <w:p>
      <w:pPr>
        <w:ind w:left="40" w:right="320" w:firstLine="7"/>
        <w:spacing w:after="0" w:line="252"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$49.40 to $49.43,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2" w:lineRule="exact"/>
        <w:rPr>
          <w:rFonts w:ascii="Arial" w:cs="Arial" w:eastAsia="Arial" w:hAnsi="Arial"/>
          <w:sz w:val="13"/>
          <w:szCs w:val="13"/>
          <w:color w:val="008000"/>
        </w:rPr>
      </w:pPr>
    </w:p>
    <w:p>
      <w:pPr>
        <w:ind w:left="40" w:right="5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represents the sale of shares of Class A common stock to satisfy the reporting person's tax withholding obligations in connection with the non-reportable vesting and settlement of restricted stock units. This sale is a non-discretionary "sell to cover" transaction and does not represent a discretionary trade by the reporting person.</w:t>
      </w:r>
    </w:p>
    <w:p>
      <w:pPr>
        <w:spacing w:after="0" w:line="11" w:lineRule="exact"/>
        <w:rPr>
          <w:rFonts w:ascii="Arial" w:cs="Arial" w:eastAsia="Arial" w:hAnsi="Arial"/>
          <w:sz w:val="13"/>
          <w:szCs w:val="13"/>
          <w:color w:val="008000"/>
        </w:rPr>
      </w:pPr>
    </w:p>
    <w:p>
      <w:pPr>
        <w:ind w:left="40" w:right="320" w:firstLine="7"/>
        <w:spacing w:after="0" w:line="294"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by The ERH Family 2012 Trust for the benefit of the reporting person's children. The reporting person is the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Alison Haggerty,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07/05/2018</w:t>
            </w:r>
          </w:p>
        </w:tc>
        <w:tc>
          <w:tcPr>
            <w:tcW w:w="0" w:type="dxa"/>
            <w:vAlign w:val="bottom"/>
          </w:tcPr>
          <w:p>
            <w:pPr>
              <w:spacing w:after="0"/>
              <w:rPr>
                <w:sz w:val="1"/>
                <w:szCs w:val="1"/>
                <w:color w:val="auto"/>
              </w:rPr>
            </w:pPr>
          </w:p>
        </w:tc>
      </w:tr>
      <w:tr>
        <w:trPr>
          <w:trHeight w:val="92"/>
        </w:trPr>
        <w:tc>
          <w:tcPr>
            <w:tcW w:w="50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2"/>
              </w:rPr>
              <w:t>in-Fact</w:t>
            </w:r>
          </w:p>
        </w:tc>
        <w:tc>
          <w:tcPr>
            <w:tcW w:w="160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00" w:type="dxa"/>
            <w:vAlign w:val="bottom"/>
            <w:tcBorders>
              <w:bottom w:val="single" w:sz="8" w:color="auto"/>
            </w:tcBorders>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479"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2019-12-07T14:28:28Z</dcterms:created>
  <dcterms:modified xsi:type="dcterms:W3CDTF">2019-12-07T14:28:28Z</dcterms:modified>
</cp:coreProperties>
</file>