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2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MERRIMAN DWIGHT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MongoDB,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MDB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02/01/2024</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27"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41"/>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02/01/2024</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402.1</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528,796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7"/>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02/01/2024</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293</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403.62</w:t>
            </w:r>
            <w:r>
              <w:rPr>
                <w:rFonts w:ascii="Times New Roman" w:cs="Times New Roman" w:eastAsia="Times New Roman" w:hAnsi="Times New Roman"/>
                <w:sz w:val="22"/>
                <w:szCs w:val="22"/>
                <w:color w:val="008000"/>
                <w:w w:val="95"/>
                <w:vertAlign w:val="superscript"/>
              </w:rPr>
              <w:t>(3)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528,503</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7"/>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02/01/2024</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607</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404.82</w:t>
            </w:r>
            <w:r>
              <w:rPr>
                <w:rFonts w:ascii="Times New Roman" w:cs="Times New Roman" w:eastAsia="Times New Roman" w:hAnsi="Times New Roman"/>
                <w:sz w:val="22"/>
                <w:szCs w:val="22"/>
                <w:color w:val="008000"/>
                <w:w w:val="95"/>
                <w:vertAlign w:val="superscript"/>
              </w:rPr>
              <w:t>(4)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527,896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7"/>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center"/>
              <w:ind w:left="148"/>
              <w:spacing w:after="0"/>
              <w:rPr>
                <w:sz w:val="20"/>
                <w:szCs w:val="20"/>
                <w:color w:val="auto"/>
              </w:rPr>
            </w:pPr>
            <w:r>
              <w:rPr>
                <w:rFonts w:ascii="Times New Roman" w:cs="Times New Roman" w:eastAsia="Times New Roman" w:hAnsi="Times New Roman"/>
                <w:sz w:val="17"/>
                <w:szCs w:val="17"/>
                <w:color w:val="0000FF"/>
              </w:rPr>
              <w:t>02/02/2024</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360" w:type="dxa"/>
            <w:vAlign w:val="bottom"/>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526,896</w:t>
            </w:r>
          </w:p>
        </w:tc>
        <w:tc>
          <w:tcPr>
            <w:tcW w:w="320" w:type="dxa"/>
            <w:vAlign w:val="bottom"/>
          </w:tcPr>
          <w:p>
            <w:pPr>
              <w:spacing w:after="0"/>
              <w:rPr>
                <w:sz w:val="24"/>
                <w:szCs w:val="24"/>
                <w:color w:val="auto"/>
              </w:rPr>
            </w:pPr>
          </w:p>
        </w:tc>
        <w:tc>
          <w:tcPr>
            <w:tcW w:w="580" w:type="dxa"/>
            <w:vAlign w:val="bottom"/>
          </w:tcPr>
          <w:p>
            <w:pPr>
              <w:jc w:val="center"/>
              <w:ind w:right="367"/>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02/05/2024</w:t>
            </w:r>
          </w:p>
        </w:tc>
        <w:tc>
          <w:tcPr>
            <w:tcW w:w="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360" w:type="dxa"/>
            <w:vAlign w:val="bottom"/>
            <w:tcBorders>
              <w:top w:val="single" w:sz="8" w:color="2C2C2C"/>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top w:val="single" w:sz="8" w:color="2C2C2C"/>
              <w:bottom w:val="single" w:sz="8" w:color="2C2C2C"/>
            </w:tcBorders>
          </w:tcPr>
          <w:p>
            <w:pPr>
              <w:jc w:val="center"/>
              <w:ind w:left="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437.99</w:t>
            </w: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1,168,784</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95,000</w:t>
            </w:r>
          </w:p>
        </w:tc>
        <w:tc>
          <w:tcPr>
            <w:tcW w:w="320" w:type="dxa"/>
            <w:vAlign w:val="bottom"/>
          </w:tcPr>
          <w:p>
            <w:pPr>
              <w:spacing w:after="0"/>
              <w:rPr>
                <w:sz w:val="18"/>
                <w:szCs w:val="18"/>
                <w:color w:val="auto"/>
              </w:rPr>
            </w:pPr>
          </w:p>
        </w:tc>
        <w:tc>
          <w:tcPr>
            <w:tcW w:w="580" w:type="dxa"/>
            <w:vAlign w:val="bottom"/>
            <w:vMerge w:val="restart"/>
          </w:tcPr>
          <w:p>
            <w:pPr>
              <w:jc w:val="center"/>
              <w:ind w:right="367"/>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41"/>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$403.20 to $404.08,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$404.58 to $405.25,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Class A Common Stock held by the Dwight A. Merriman Charitable Foundation, but has no pecuniary interest in these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Gahee Lee,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02/05/2024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7858"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2024-02-05T15:24:31Z</dcterms:created>
  <dcterms:modified xsi:type="dcterms:W3CDTF">2024-02-05T15:24:31Z</dcterms:modified>
</cp:coreProperties>
</file>